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2A677F" w:rsidRPr="00DC6881">
        <w:rPr>
          <w:rFonts w:ascii="Times New Roman" w:hAnsi="Times New Roman" w:cs="Times New Roman"/>
        </w:rPr>
        <w:t>по состоянию на 30.09.2021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EB4D7A">
        <w:rPr>
          <w:rFonts w:ascii="Times New Roman" w:hAnsi="Times New Roman" w:cs="Times New Roman"/>
        </w:rPr>
        <w:t>ионного фонда инвестированы в 30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2D21DE" w:rsidP="00B606BD">
            <w:pPr>
              <w:spacing w:after="0" w:line="240" w:lineRule="auto"/>
              <w:jc w:val="center"/>
              <w:rPr>
                <w:rFonts w:ascii="Times New Roman" w:hAnsi="Times New Roman" w:cs="Times New Roman"/>
              </w:rPr>
            </w:pPr>
            <w:r w:rsidRPr="002D21DE">
              <w:rPr>
                <w:rFonts w:ascii="Times New Roman" w:hAnsi="Times New Roman" w:cs="Times New Roman"/>
              </w:rPr>
              <w:t>37.10</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2D21DE" w:rsidP="00B606BD">
            <w:pPr>
              <w:spacing w:after="0" w:line="240" w:lineRule="auto"/>
              <w:jc w:val="center"/>
              <w:rPr>
                <w:rFonts w:ascii="Times New Roman" w:hAnsi="Times New Roman" w:cs="Times New Roman"/>
              </w:rPr>
            </w:pPr>
            <w:r w:rsidRPr="002D21DE">
              <w:rPr>
                <w:rFonts w:ascii="Times New Roman" w:hAnsi="Times New Roman" w:cs="Times New Roman"/>
              </w:rPr>
              <w:t>25.17</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2D21DE" w:rsidP="00B606BD">
            <w:pPr>
              <w:spacing w:after="0" w:line="240" w:lineRule="auto"/>
              <w:jc w:val="center"/>
              <w:rPr>
                <w:rFonts w:ascii="Times New Roman" w:hAnsi="Times New Roman" w:cs="Times New Roman"/>
              </w:rPr>
            </w:pPr>
            <w:r w:rsidRPr="002D21DE">
              <w:rPr>
                <w:rFonts w:ascii="Times New Roman" w:hAnsi="Times New Roman" w:cs="Times New Roman"/>
              </w:rPr>
              <w:t>12.54</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2D21DE" w:rsidP="00B606BD">
            <w:pPr>
              <w:spacing w:after="0" w:line="240" w:lineRule="auto"/>
              <w:jc w:val="center"/>
              <w:rPr>
                <w:rFonts w:ascii="Times New Roman" w:hAnsi="Times New Roman" w:cs="Times New Roman"/>
              </w:rPr>
            </w:pPr>
            <w:r w:rsidRPr="002D21DE">
              <w:rPr>
                <w:rFonts w:ascii="Times New Roman" w:hAnsi="Times New Roman" w:cs="Times New Roman"/>
              </w:rPr>
              <w:t>10.36</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2D21DE" w:rsidP="00B606BD">
            <w:pPr>
              <w:spacing w:after="0" w:line="240" w:lineRule="auto"/>
              <w:jc w:val="center"/>
              <w:rPr>
                <w:rFonts w:ascii="Times New Roman" w:hAnsi="Times New Roman" w:cs="Times New Roman"/>
              </w:rPr>
            </w:pPr>
            <w:r w:rsidRPr="002D21DE">
              <w:rPr>
                <w:rFonts w:ascii="Times New Roman" w:hAnsi="Times New Roman" w:cs="Times New Roman"/>
              </w:rPr>
              <w:t>6.27</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-0.35</w:t>
            </w:r>
          </w:p>
        </w:tc>
        <w:tc>
          <w:tcPr>
            <w:tcW w:w="1701" w:type="dxa"/>
            <w:tcBorders>
              <w:top w:val="nil"/>
              <w:left w:val="nil"/>
              <w:bottom w:val="single" w:sz="4" w:space="0" w:color="auto"/>
              <w:right w:val="single" w:sz="4" w:space="0" w:color="auto"/>
            </w:tcBorders>
            <w:vAlign w:val="center"/>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-0.95</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-1.99</w:t>
            </w:r>
          </w:p>
        </w:tc>
        <w:tc>
          <w:tcPr>
            <w:tcW w:w="1701" w:type="dxa"/>
            <w:tcBorders>
              <w:top w:val="nil"/>
              <w:left w:val="nil"/>
              <w:bottom w:val="single" w:sz="4" w:space="0" w:color="auto"/>
              <w:right w:val="single" w:sz="4" w:space="0" w:color="auto"/>
            </w:tcBorders>
            <w:vAlign w:val="center"/>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-3.07</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-1.82</w:t>
            </w:r>
          </w:p>
        </w:tc>
        <w:tc>
          <w:tcPr>
            <w:tcW w:w="1701" w:type="dxa"/>
            <w:tcBorders>
              <w:top w:val="nil"/>
              <w:left w:val="nil"/>
              <w:bottom w:val="single" w:sz="4" w:space="0" w:color="auto"/>
              <w:right w:val="single" w:sz="4" w:space="0" w:color="auto"/>
            </w:tcBorders>
            <w:vAlign w:val="center"/>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-4.95</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7.17</w:t>
            </w:r>
          </w:p>
        </w:tc>
        <w:tc>
          <w:tcPr>
            <w:tcW w:w="1701" w:type="dxa"/>
            <w:tcBorders>
              <w:top w:val="nil"/>
              <w:left w:val="nil"/>
              <w:bottom w:val="single" w:sz="4" w:space="0" w:color="auto"/>
              <w:right w:val="single" w:sz="4" w:space="0" w:color="auto"/>
            </w:tcBorders>
            <w:vAlign w:val="center"/>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-0.24</w:t>
            </w:r>
          </w:p>
        </w:tc>
      </w:tr>
      <w:tr w:rsidR="00E55279" w:rsidRPr="00DC6881" w:rsidTr="00E55279">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-76.67</w:t>
            </w:r>
          </w:p>
        </w:tc>
        <w:tc>
          <w:tcPr>
            <w:tcW w:w="1701" w:type="dxa"/>
            <w:tcBorders>
              <w:top w:val="nil"/>
              <w:left w:val="nil"/>
              <w:bottom w:val="single" w:sz="4" w:space="0" w:color="auto"/>
              <w:right w:val="single" w:sz="4" w:space="0" w:color="auto"/>
            </w:tcBorders>
            <w:vAlign w:val="center"/>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-92.46</w:t>
            </w:r>
          </w:p>
        </w:tc>
      </w:tr>
      <w:tr w:rsidR="00E55279" w:rsidRPr="00DC6881" w:rsidTr="00E55279">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-80.61</w:t>
            </w:r>
          </w:p>
        </w:tc>
        <w:tc>
          <w:tcPr>
            <w:tcW w:w="1701" w:type="dxa"/>
            <w:tcBorders>
              <w:top w:val="nil"/>
              <w:left w:val="nil"/>
              <w:bottom w:val="single" w:sz="4" w:space="0" w:color="auto"/>
              <w:right w:val="single" w:sz="4" w:space="0" w:color="auto"/>
            </w:tcBorders>
            <w:vAlign w:val="center"/>
          </w:tcPr>
          <w:p w:rsidR="00E55279" w:rsidRPr="00DC6881" w:rsidRDefault="00A9024D" w:rsidP="00E55279">
            <w:pPr>
              <w:spacing w:after="0" w:line="240" w:lineRule="auto"/>
              <w:jc w:val="center"/>
              <w:rPr>
                <w:rFonts w:ascii="Times New Roman" w:hAnsi="Times New Roman" w:cs="Times New Roman"/>
              </w:rPr>
            </w:pPr>
            <w:r w:rsidRPr="00A9024D">
              <w:rPr>
                <w:rFonts w:ascii="Times New Roman" w:hAnsi="Times New Roman" w:cs="Times New Roman"/>
              </w:rPr>
              <w:t>-103.88</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A9024D">
        <w:rPr>
          <w:noProof/>
          <w:lang w:eastAsia="ru-RU"/>
        </w:rPr>
        <w:drawing>
          <wp:inline distT="0" distB="0" distL="0" distR="0" wp14:anchorId="67008D94" wp14:editId="137904A6">
            <wp:extent cx="2567635" cy="2077517"/>
            <wp:effectExtent l="0" t="0" r="444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C64B23" w:rsidRPr="00C64B23">
        <w:rPr>
          <w:rFonts w:ascii="Times New Roman" w:hAnsi="Times New Roman" w:cs="Times New Roman"/>
        </w:rPr>
        <w:t>1</w:t>
      </w:r>
      <w:r w:rsidR="00C64B23">
        <w:rPr>
          <w:rFonts w:ascii="Times New Roman" w:hAnsi="Times New Roman" w:cs="Times New Roman"/>
        </w:rPr>
        <w:t> </w:t>
      </w:r>
      <w:r w:rsidR="00C64B23" w:rsidRPr="00C64B23">
        <w:rPr>
          <w:rFonts w:ascii="Times New Roman" w:hAnsi="Times New Roman" w:cs="Times New Roman"/>
        </w:rPr>
        <w:t>222</w:t>
      </w:r>
      <w:r w:rsidR="00C64B23">
        <w:rPr>
          <w:rFonts w:ascii="Times New Roman" w:hAnsi="Times New Roman" w:cs="Times New Roman"/>
        </w:rPr>
        <w:t> </w:t>
      </w:r>
      <w:r w:rsidR="00C64B23" w:rsidRPr="00C64B23">
        <w:rPr>
          <w:rFonts w:ascii="Times New Roman" w:hAnsi="Times New Roman" w:cs="Times New Roman"/>
        </w:rPr>
        <w:t>503</w:t>
      </w:r>
      <w:r w:rsidR="00C64B23">
        <w:rPr>
          <w:rFonts w:ascii="Times New Roman" w:hAnsi="Times New Roman" w:cs="Times New Roman"/>
        </w:rPr>
        <w:t xml:space="preserve"> </w:t>
      </w:r>
      <w:r w:rsidR="00C64B23" w:rsidRPr="00C64B23">
        <w:rPr>
          <w:rFonts w:ascii="Times New Roman" w:hAnsi="Times New Roman" w:cs="Times New Roman"/>
        </w:rPr>
        <w:t>858.65</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C64B23" w:rsidRPr="00C64B23">
        <w:rPr>
          <w:rFonts w:ascii="Times New Roman" w:hAnsi="Times New Roman" w:cs="Times New Roman"/>
        </w:rPr>
        <w:t>203</w:t>
      </w:r>
      <w:r w:rsidR="00C64B23">
        <w:rPr>
          <w:rFonts w:ascii="Times New Roman" w:hAnsi="Times New Roman" w:cs="Times New Roman"/>
        </w:rPr>
        <w:t xml:space="preserve"> </w:t>
      </w:r>
      <w:r w:rsidR="00C64B23" w:rsidRPr="00C64B23">
        <w:rPr>
          <w:rFonts w:ascii="Times New Roman" w:hAnsi="Times New Roman" w:cs="Times New Roman"/>
        </w:rPr>
        <w:t>400.51</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 паям выплачивается не позднее 30 (Тридцати) календарных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5E72DE" w:rsidRDefault="00356853" w:rsidP="00936B3D">
      <w:pPr>
        <w:pStyle w:val="a5"/>
        <w:numPr>
          <w:ilvl w:val="0"/>
          <w:numId w:val="12"/>
        </w:numPr>
        <w:pBdr>
          <w:bottom w:val="single" w:sz="12" w:space="1" w:color="auto"/>
        </w:pBdr>
        <w:spacing w:after="0"/>
        <w:ind w:left="357" w:hanging="357"/>
        <w:jc w:val="both"/>
        <w:rPr>
          <w:rFonts w:ascii="Times New Roman" w:hAnsi="Times New Roman" w:cs="Times New Roman"/>
        </w:rPr>
      </w:pPr>
      <w:r w:rsidRPr="00F16EFC">
        <w:rPr>
          <w:rFonts w:ascii="Times New Roman" w:hAnsi="Times New Roman" w:cs="Times New Roman"/>
        </w:rPr>
        <w:t>За счет имущества, составляющего фонд, выплачиваются вознаграждения управля</w:t>
      </w:r>
      <w:r w:rsidR="00525C2B">
        <w:rPr>
          <w:rFonts w:ascii="Times New Roman" w:hAnsi="Times New Roman" w:cs="Times New Roman"/>
        </w:rPr>
        <w:t>ющей компании в размере 400 000.</w:t>
      </w:r>
      <w:r w:rsidRPr="00F16EFC">
        <w:rPr>
          <w:rFonts w:ascii="Times New Roman" w:hAnsi="Times New Roman" w:cs="Times New Roman"/>
        </w:rPr>
        <w:t>00 (Четыреста тысяч) рублей в месяц, а также специализированному депозитарию, регистратору, аудиторской организации и</w:t>
      </w:r>
      <w:r w:rsidR="00525C2B">
        <w:rPr>
          <w:rFonts w:ascii="Times New Roman" w:hAnsi="Times New Roman" w:cs="Times New Roman"/>
        </w:rPr>
        <w:t xml:space="preserve"> оценщикам в размере не более 0.</w:t>
      </w:r>
      <w:r w:rsidRPr="00F16EFC">
        <w:rPr>
          <w:rFonts w:ascii="Times New Roman" w:hAnsi="Times New Roman" w:cs="Times New Roman"/>
        </w:rPr>
        <w:t>45 (Ноль целых сорок пять сотых) процента среднегодовой стоимости чистых активов фонда. 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773D69" w:rsidRDefault="00746CDF" w:rsidP="00773D69">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АО «ОСД»,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773D69" w:rsidRDefault="00773D69" w:rsidP="00773D69">
      <w:pPr>
        <w:pStyle w:val="a5"/>
        <w:numPr>
          <w:ilvl w:val="0"/>
          <w:numId w:val="7"/>
        </w:numPr>
        <w:spacing w:after="0"/>
        <w:ind w:left="357" w:hanging="357"/>
        <w:jc w:val="both"/>
        <w:rPr>
          <w:rFonts w:ascii="Times New Roman" w:hAnsi="Times New Roman" w:cs="Times New Roman"/>
        </w:rPr>
      </w:pPr>
      <w:r w:rsidRPr="00773D69">
        <w:rPr>
          <w:rFonts w:ascii="Times New Roman" w:hAnsi="Times New Roman" w:cs="Times New Roman"/>
        </w:rPr>
        <w:t>Лицо, осуществляющее ведение реестра владельцев инвестиционных паев</w:t>
      </w:r>
      <w:r w:rsidR="00746CDF" w:rsidRPr="00773D69">
        <w:rPr>
          <w:rFonts w:ascii="Times New Roman" w:hAnsi="Times New Roman" w:cs="Times New Roman"/>
        </w:rPr>
        <w:t xml:space="preserve"> АО «ОСД», сайт </w:t>
      </w:r>
      <w:hyperlink r:id="rId8" w:history="1">
        <w:r w:rsidR="00746CDF" w:rsidRPr="00773D69">
          <w:rPr>
            <w:rStyle w:val="a4"/>
            <w:rFonts w:ascii="Times New Roman" w:hAnsi="Times New Roman" w:cs="Times New Roman"/>
          </w:rPr>
          <w:t>www.usdep.ru</w:t>
        </w:r>
      </w:hyperlink>
      <w:r w:rsidR="00746CDF" w:rsidRPr="00773D69">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Надзор и контроль за деятельностью управляющей компании паевого инвестиционного фонда в соответствии с подпунктом 10 пункта 2 статьи 55 </w:t>
      </w:r>
      <w:bookmarkStart w:id="0" w:name="_GoBack"/>
      <w:bookmarkEnd w:id="0"/>
      <w:r w:rsidRPr="00DC6881">
        <w:rPr>
          <w:rFonts w:ascii="Times New Roman" w:hAnsi="Times New Roman" w:cs="Times New Roman"/>
        </w:rPr>
        <w:t>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0"/>
  </w:num>
  <w:num w:numId="6">
    <w:abstractNumId w:val="3"/>
  </w:num>
  <w:num w:numId="7">
    <w:abstractNumId w:val="7"/>
  </w:num>
  <w:num w:numId="8">
    <w:abstractNumId w:val="6"/>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20040"/>
    <w:rsid w:val="00126C50"/>
    <w:rsid w:val="001463C5"/>
    <w:rsid w:val="00182E71"/>
    <w:rsid w:val="001A09C3"/>
    <w:rsid w:val="001A676B"/>
    <w:rsid w:val="001B72AB"/>
    <w:rsid w:val="001C5D10"/>
    <w:rsid w:val="001C66AE"/>
    <w:rsid w:val="001F7ADA"/>
    <w:rsid w:val="00206B90"/>
    <w:rsid w:val="002A677F"/>
    <w:rsid w:val="002D21DE"/>
    <w:rsid w:val="002E39BE"/>
    <w:rsid w:val="002E586B"/>
    <w:rsid w:val="003531F8"/>
    <w:rsid w:val="00356853"/>
    <w:rsid w:val="00363F20"/>
    <w:rsid w:val="00371B38"/>
    <w:rsid w:val="00372EDE"/>
    <w:rsid w:val="003A2EDF"/>
    <w:rsid w:val="003D6EB9"/>
    <w:rsid w:val="003F11DC"/>
    <w:rsid w:val="00443490"/>
    <w:rsid w:val="004A0ABA"/>
    <w:rsid w:val="004A5F5B"/>
    <w:rsid w:val="004A7617"/>
    <w:rsid w:val="004B5AD6"/>
    <w:rsid w:val="00525C2B"/>
    <w:rsid w:val="00542670"/>
    <w:rsid w:val="00572DEF"/>
    <w:rsid w:val="005944D7"/>
    <w:rsid w:val="005D6F19"/>
    <w:rsid w:val="005E1B0D"/>
    <w:rsid w:val="005E72DE"/>
    <w:rsid w:val="00646AE3"/>
    <w:rsid w:val="00734072"/>
    <w:rsid w:val="00746CDF"/>
    <w:rsid w:val="00773D69"/>
    <w:rsid w:val="007855CF"/>
    <w:rsid w:val="007C1A75"/>
    <w:rsid w:val="007F7E09"/>
    <w:rsid w:val="00803846"/>
    <w:rsid w:val="00821E81"/>
    <w:rsid w:val="00823043"/>
    <w:rsid w:val="00860AED"/>
    <w:rsid w:val="008876AF"/>
    <w:rsid w:val="008B2941"/>
    <w:rsid w:val="008E283C"/>
    <w:rsid w:val="008F6F31"/>
    <w:rsid w:val="00925DE2"/>
    <w:rsid w:val="009374E5"/>
    <w:rsid w:val="0096446D"/>
    <w:rsid w:val="009B4EE8"/>
    <w:rsid w:val="009E2061"/>
    <w:rsid w:val="00A03E95"/>
    <w:rsid w:val="00A05C24"/>
    <w:rsid w:val="00A163AF"/>
    <w:rsid w:val="00A6551F"/>
    <w:rsid w:val="00A9024D"/>
    <w:rsid w:val="00AA0E46"/>
    <w:rsid w:val="00AD3C27"/>
    <w:rsid w:val="00AF00F2"/>
    <w:rsid w:val="00B053A3"/>
    <w:rsid w:val="00B231C8"/>
    <w:rsid w:val="00B40149"/>
    <w:rsid w:val="00B606BD"/>
    <w:rsid w:val="00BB7D74"/>
    <w:rsid w:val="00BF6C4E"/>
    <w:rsid w:val="00C148E6"/>
    <w:rsid w:val="00C27C00"/>
    <w:rsid w:val="00C45E2F"/>
    <w:rsid w:val="00C64B23"/>
    <w:rsid w:val="00C9036F"/>
    <w:rsid w:val="00CB5244"/>
    <w:rsid w:val="00D11B91"/>
    <w:rsid w:val="00DB4167"/>
    <w:rsid w:val="00DC6881"/>
    <w:rsid w:val="00DD08D1"/>
    <w:rsid w:val="00DD0F8F"/>
    <w:rsid w:val="00DF650D"/>
    <w:rsid w:val="00E00364"/>
    <w:rsid w:val="00E55279"/>
    <w:rsid w:val="00EB4D7A"/>
    <w:rsid w:val="00EE1DF8"/>
    <w:rsid w:val="00EE489C"/>
    <w:rsid w:val="00F0194C"/>
    <w:rsid w:val="00F03B7C"/>
    <w:rsid w:val="00F16EFC"/>
    <w:rsid w:val="00F65E19"/>
    <w:rsid w:val="00F85820"/>
    <w:rsid w:val="00F940CD"/>
    <w:rsid w:val="00FB50E8"/>
    <w:rsid w:val="00FC6CC2"/>
    <w:rsid w:val="00FD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ukif-fs.uk.lan\storage$\groups\&#1050;&#1086;&#1085;&#1090;&#1088;&#1086;&#1083;&#1100;\&#1053;&#1042;&#1043;\&#1050;&#1048;&#1044;\&#1044;&#1086;&#1093;&#1086;&#1076;&#1085;&#1086;&#1089;&#1090;&#1080;,%20&#1080;&#1085;&#1092;&#1083;&#1103;&#1094;&#1080;&#1103;\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333333"/>
                </a:solidFill>
                <a:latin typeface="Calibri"/>
                <a:ea typeface="Calibri"/>
                <a:cs typeface="Calibri"/>
              </a:defRPr>
            </a:pPr>
            <a:r>
              <a:rPr lang="ru-RU" sz="1100"/>
              <a:t>Доходность за календарный год, %</a:t>
            </a:r>
          </a:p>
        </c:rich>
      </c:tx>
      <c:layout/>
      <c:overlay val="0"/>
      <c:spPr>
        <a:noFill/>
        <a:ln w="25400">
          <a:noFill/>
        </a:ln>
      </c:spPr>
    </c:title>
    <c:autoTitleDeleted val="0"/>
    <c:plotArea>
      <c:layout/>
      <c:barChart>
        <c:barDir val="col"/>
        <c:grouping val="stacked"/>
        <c:varyColors val="0"/>
        <c:ser>
          <c:idx val="0"/>
          <c:order val="0"/>
          <c:spPr>
            <a:solidFill>
              <a:srgbClr val="5B9BD5"/>
            </a:solidFill>
            <a:ln w="25400">
              <a:noFill/>
            </a:ln>
          </c:spPr>
          <c:invertIfNegative val="0"/>
          <c:dLbls>
            <c:dLbl>
              <c:idx val="0"/>
              <c:layout>
                <c:manualLayout>
                  <c:x val="-2.5462668816039986E-17"/>
                  <c:y val="-9.2592592592592587E-2"/>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9E-3"/>
                  <c:y val="-0.3935185185185185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85067526415994E-16"/>
                  <c:y val="-0.125"/>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7596E-3"/>
                  <c:y val="-0.17129629629629631"/>
                </c:manualLayout>
              </c:layout>
              <c:spPr>
                <a:noFill/>
                <a:ln w="25400">
                  <a:noFill/>
                </a:ln>
              </c:spPr>
              <c:txPr>
                <a:bodyPr/>
                <a:lstStyle/>
                <a:p>
                  <a:pPr>
                    <a:defRPr sz="900" b="0" i="0" u="none" strike="noStrike" baseline="0">
                      <a:solidFill>
                        <a:srgbClr val="333333"/>
                      </a:solidFill>
                      <a:latin typeface="Calibri"/>
                      <a:ea typeface="Calibri"/>
                      <a:cs typeface="Calibri"/>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'Доходность за календарный год %'!$A$12:$A$15</c:f>
              <c:numCache>
                <c:formatCode>General</c:formatCode>
                <c:ptCount val="4"/>
                <c:pt idx="0">
                  <c:v>2017</c:v>
                </c:pt>
                <c:pt idx="1">
                  <c:v>2018</c:v>
                </c:pt>
                <c:pt idx="2">
                  <c:v>2019</c:v>
                </c:pt>
                <c:pt idx="3">
                  <c:v>2020</c:v>
                </c:pt>
              </c:numCache>
            </c:numRef>
          </c:cat>
          <c:val>
            <c:numRef>
              <c:f>'Доходность за календарный год %'!$B$12:$B$15</c:f>
              <c:numCache>
                <c:formatCode>#,##0.00</c:formatCode>
                <c:ptCount val="4"/>
                <c:pt idx="0" formatCode="General">
                  <c:v>-8.23</c:v>
                </c:pt>
                <c:pt idx="1">
                  <c:v>-65.64</c:v>
                </c:pt>
                <c:pt idx="2">
                  <c:v>-17.21</c:v>
                </c:pt>
                <c:pt idx="3">
                  <c:v>-24.77</c:v>
                </c:pt>
              </c:numCache>
            </c:numRef>
          </c:val>
        </c:ser>
        <c:dLbls>
          <c:showLegendKey val="0"/>
          <c:showVal val="0"/>
          <c:showCatName val="0"/>
          <c:showSerName val="0"/>
          <c:showPercent val="0"/>
          <c:showBubbleSize val="0"/>
        </c:dLbls>
        <c:gapWidth val="150"/>
        <c:overlap val="100"/>
        <c:axId val="255548816"/>
        <c:axId val="255549992"/>
      </c:barChart>
      <c:catAx>
        <c:axId val="255548816"/>
        <c:scaling>
          <c:orientation val="minMax"/>
        </c:scaling>
        <c:delete val="0"/>
        <c:axPos val="b"/>
        <c:numFmt formatCode="General" sourceLinked="1"/>
        <c:majorTickMark val="none"/>
        <c:minorTickMark val="none"/>
        <c:tickLblPos val="nextTo"/>
        <c:spPr>
          <a:ln w="6350">
            <a:noFill/>
          </a:ln>
        </c:spPr>
        <c:txPr>
          <a:bodyPr rot="0" vert="horz"/>
          <a:lstStyle/>
          <a:p>
            <a:pPr>
              <a:defRPr sz="900" b="1" i="0" u="none" strike="noStrike" baseline="0">
                <a:solidFill>
                  <a:srgbClr val="333333"/>
                </a:solidFill>
                <a:latin typeface="Calibri"/>
                <a:ea typeface="Calibri"/>
                <a:cs typeface="Calibri"/>
              </a:defRPr>
            </a:pPr>
            <a:endParaRPr lang="ru-RU"/>
          </a:p>
        </c:txPr>
        <c:crossAx val="255549992"/>
        <c:crosses val="autoZero"/>
        <c:auto val="1"/>
        <c:lblAlgn val="ctr"/>
        <c:lblOffset val="100"/>
        <c:noMultiLvlLbl val="0"/>
      </c:catAx>
      <c:valAx>
        <c:axId val="255549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25554881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11A3-D5F4-4B18-A7D2-2B9A3859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83</cp:revision>
  <dcterms:created xsi:type="dcterms:W3CDTF">2021-10-07T09:48:00Z</dcterms:created>
  <dcterms:modified xsi:type="dcterms:W3CDTF">2021-11-18T12:33:00Z</dcterms:modified>
</cp:coreProperties>
</file>