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5F0B16">
        <w:rPr>
          <w:rFonts w:ascii="Times New Roman" w:hAnsi="Times New Roman" w:cs="Times New Roman"/>
        </w:rPr>
        <w:t>29</w:t>
      </w:r>
      <w:r w:rsidR="00F90357" w:rsidRPr="00B359BE">
        <w:rPr>
          <w:rFonts w:ascii="Times New Roman" w:hAnsi="Times New Roman" w:cs="Times New Roman"/>
        </w:rPr>
        <w:t>.</w:t>
      </w:r>
      <w:r w:rsidR="00460EFB">
        <w:rPr>
          <w:rFonts w:ascii="Times New Roman" w:hAnsi="Times New Roman" w:cs="Times New Roman"/>
        </w:rPr>
        <w:t>0</w:t>
      </w:r>
      <w:r w:rsidR="00332715">
        <w:rPr>
          <w:rFonts w:ascii="Times New Roman" w:hAnsi="Times New Roman" w:cs="Times New Roman"/>
        </w:rPr>
        <w:t>3</w:t>
      </w:r>
      <w:r w:rsidR="00F90357" w:rsidRPr="00B359BE">
        <w:rPr>
          <w:rFonts w:ascii="Times New Roman" w:hAnsi="Times New Roman" w:cs="Times New Roman"/>
        </w:rPr>
        <w:t>.202</w:t>
      </w:r>
      <w:r w:rsidR="00460EFB">
        <w:rPr>
          <w:rFonts w:ascii="Times New Roman" w:hAnsi="Times New Roman" w:cs="Times New Roman"/>
        </w:rPr>
        <w:t>4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 xml:space="preserve">онного фонда инвестированы </w:t>
      </w:r>
      <w:r w:rsidR="00317821" w:rsidRPr="00B359BE">
        <w:rPr>
          <w:rFonts w:ascii="Times New Roman" w:hAnsi="Times New Roman" w:cs="Times New Roman"/>
        </w:rPr>
        <w:t xml:space="preserve">в </w:t>
      </w:r>
      <w:r w:rsidR="001B3C1D">
        <w:rPr>
          <w:rFonts w:ascii="Times New Roman" w:hAnsi="Times New Roman" w:cs="Times New Roman"/>
        </w:rPr>
        <w:t>0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2126"/>
      </w:tblGrid>
      <w:tr w:rsidR="006A1241" w:rsidRPr="00DC6881" w:rsidTr="00D452C6">
        <w:trPr>
          <w:trHeight w:val="712"/>
        </w:trPr>
        <w:tc>
          <w:tcPr>
            <w:tcW w:w="554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Доля активов в %</w:t>
            </w:r>
          </w:p>
        </w:tc>
      </w:tr>
      <w:tr w:rsidR="00B978F7" w:rsidRPr="00DC6881" w:rsidTr="00E91D86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</w:tcPr>
          <w:p w:rsidR="00B978F7" w:rsidRPr="006A1241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shd w:val="clear" w:color="auto" w:fill="auto"/>
            <w:vAlign w:val="bottom"/>
          </w:tcPr>
          <w:p w:rsidR="00B978F7" w:rsidRPr="006A1241" w:rsidRDefault="00B978F7" w:rsidP="00B97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978F7" w:rsidRPr="00B359BE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978F7" w:rsidRDefault="00B978F7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Default="00C45E2F" w:rsidP="004B5AD6">
      <w:pPr>
        <w:spacing w:after="0"/>
        <w:rPr>
          <w:rFonts w:ascii="Times New Roman" w:hAnsi="Times New Roman" w:cs="Times New Roman"/>
        </w:rPr>
      </w:pPr>
    </w:p>
    <w:p w:rsidR="00E91D86" w:rsidRDefault="00E91D86" w:rsidP="004B5AD6">
      <w:pPr>
        <w:spacing w:after="0"/>
        <w:rPr>
          <w:rFonts w:ascii="Times New Roman" w:hAnsi="Times New Roman" w:cs="Times New Roman"/>
        </w:rPr>
      </w:pPr>
    </w:p>
    <w:p w:rsidR="001B3C1D" w:rsidRDefault="001B3C1D" w:rsidP="004B5AD6">
      <w:pPr>
        <w:spacing w:after="0"/>
        <w:rPr>
          <w:rFonts w:ascii="Times New Roman" w:hAnsi="Times New Roman" w:cs="Times New Roman"/>
        </w:rPr>
      </w:pPr>
    </w:p>
    <w:p w:rsidR="001B3C1D" w:rsidRDefault="001B3C1D" w:rsidP="004B5AD6">
      <w:pPr>
        <w:spacing w:after="0"/>
        <w:rPr>
          <w:rFonts w:ascii="Times New Roman" w:hAnsi="Times New Roman" w:cs="Times New Roman"/>
        </w:rPr>
      </w:pPr>
    </w:p>
    <w:p w:rsidR="001B3C1D" w:rsidRDefault="001B3C1D" w:rsidP="004B5AD6">
      <w:pPr>
        <w:spacing w:after="0"/>
        <w:rPr>
          <w:rFonts w:ascii="Times New Roman" w:hAnsi="Times New Roman" w:cs="Times New Roman"/>
        </w:rPr>
      </w:pPr>
    </w:p>
    <w:p w:rsidR="00E91D86" w:rsidRDefault="00E91D86" w:rsidP="004B5AD6">
      <w:pPr>
        <w:spacing w:after="0"/>
        <w:rPr>
          <w:rFonts w:ascii="Times New Roman" w:hAnsi="Times New Roman" w:cs="Times New Roman"/>
        </w:rPr>
      </w:pPr>
    </w:p>
    <w:p w:rsidR="00E91D86" w:rsidRPr="00DC6881" w:rsidRDefault="00E91D86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978F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F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209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9324F6" w:rsidRPr="00DC6881" w:rsidTr="000E731C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 Инфляции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F6" w:rsidRPr="00DC6881" w:rsidTr="000E731C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15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15" w:rsidRPr="004E1105" w:rsidRDefault="00332715" w:rsidP="0033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15" w:rsidRPr="00442900" w:rsidRDefault="00332715" w:rsidP="00332715">
            <w:pPr>
              <w:jc w:val="center"/>
            </w:pPr>
            <w:r w:rsidRPr="00442900"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15" w:rsidRPr="00342B28" w:rsidRDefault="00332715" w:rsidP="00332715">
            <w:pPr>
              <w:jc w:val="center"/>
            </w:pPr>
            <w:r w:rsidRPr="00342B28">
              <w:t>-0,68</w:t>
            </w:r>
          </w:p>
        </w:tc>
      </w:tr>
      <w:tr w:rsidR="00332715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15" w:rsidRPr="004E1105" w:rsidRDefault="00332715" w:rsidP="0033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15" w:rsidRPr="00442900" w:rsidRDefault="00332715" w:rsidP="00332715">
            <w:pPr>
              <w:jc w:val="center"/>
            </w:pPr>
            <w: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15" w:rsidRPr="00342B28" w:rsidRDefault="00332715" w:rsidP="00332715">
            <w:pPr>
              <w:jc w:val="center"/>
            </w:pPr>
            <w:r w:rsidRPr="00342B28">
              <w:t>-2,24</w:t>
            </w:r>
          </w:p>
        </w:tc>
      </w:tr>
      <w:tr w:rsidR="00332715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15" w:rsidRPr="004E1105" w:rsidRDefault="00332715" w:rsidP="0033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15" w:rsidRPr="00442900" w:rsidRDefault="00332715" w:rsidP="00332715">
            <w:pPr>
              <w:jc w:val="center"/>
            </w:pPr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15" w:rsidRPr="00342B28" w:rsidRDefault="00332715" w:rsidP="00332715">
            <w:pPr>
              <w:jc w:val="center"/>
            </w:pPr>
            <w:r w:rsidRPr="00342B28">
              <w:t>-104,99</w:t>
            </w:r>
          </w:p>
        </w:tc>
      </w:tr>
      <w:tr w:rsidR="00332715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15" w:rsidRPr="004E1105" w:rsidRDefault="00332715" w:rsidP="0033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15" w:rsidRPr="00442900" w:rsidRDefault="00332715" w:rsidP="00332715">
            <w:pPr>
              <w:jc w:val="center"/>
            </w:pPr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15" w:rsidRPr="00342B28" w:rsidRDefault="00332715" w:rsidP="00332715">
            <w:pPr>
              <w:jc w:val="center"/>
            </w:pPr>
            <w:r w:rsidRPr="00342B28">
              <w:t>-108,01</w:t>
            </w:r>
          </w:p>
        </w:tc>
      </w:tr>
      <w:tr w:rsidR="00332715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15" w:rsidRPr="004E1105" w:rsidRDefault="00332715" w:rsidP="0033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15" w:rsidRPr="00442900" w:rsidRDefault="00332715" w:rsidP="00332715">
            <w:pPr>
              <w:jc w:val="center"/>
            </w:pPr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15" w:rsidRPr="00342B28" w:rsidRDefault="00332715" w:rsidP="00332715">
            <w:pPr>
              <w:jc w:val="center"/>
            </w:pPr>
            <w:r w:rsidRPr="00342B28">
              <w:t>-130,46</w:t>
            </w:r>
          </w:p>
        </w:tc>
      </w:tr>
      <w:tr w:rsidR="00332715" w:rsidRPr="00DC6881" w:rsidTr="00E91D86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15" w:rsidRPr="004E1105" w:rsidRDefault="00332715" w:rsidP="0033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715" w:rsidRDefault="00332715" w:rsidP="00332715">
            <w:pPr>
              <w:jc w:val="center"/>
            </w:pPr>
            <w:r w:rsidRPr="00442900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15" w:rsidRDefault="00332715" w:rsidP="00332715">
            <w:pPr>
              <w:jc w:val="center"/>
            </w:pPr>
            <w:r w:rsidRPr="00342B28">
              <w:t>-141,51</w:t>
            </w:r>
          </w:p>
        </w:tc>
      </w:tr>
    </w:tbl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460EFB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24DA6FA" wp14:editId="636A8D57">
            <wp:extent cx="2990850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B359BE" w:rsidRDefault="00206B90" w:rsidP="00B978F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E91D86">
        <w:rPr>
          <w:rFonts w:ascii="Times New Roman" w:hAnsi="Times New Roman" w:cs="Times New Roman"/>
        </w:rPr>
        <w:t xml:space="preserve">0 </w:t>
      </w:r>
      <w:r w:rsidRPr="00B359BE">
        <w:rPr>
          <w:rFonts w:ascii="Times New Roman" w:hAnsi="Times New Roman" w:cs="Times New Roman"/>
        </w:rPr>
        <w:t>руб.</w:t>
      </w:r>
    </w:p>
    <w:p w:rsidR="00F03B7C" w:rsidRPr="00DC6881" w:rsidRDefault="00B231C8" w:rsidP="00B978F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59BE">
        <w:rPr>
          <w:rFonts w:ascii="Times New Roman" w:hAnsi="Times New Roman" w:cs="Times New Roman"/>
        </w:rPr>
        <w:t xml:space="preserve">Расчетная </w:t>
      </w:r>
      <w:r w:rsidR="00E37012" w:rsidRPr="00B359BE">
        <w:rPr>
          <w:rFonts w:ascii="Times New Roman" w:hAnsi="Times New Roman" w:cs="Times New Roman"/>
        </w:rPr>
        <w:t>ст</w:t>
      </w:r>
      <w:r w:rsidR="002943C9" w:rsidRPr="00B359BE">
        <w:rPr>
          <w:rFonts w:ascii="Times New Roman" w:hAnsi="Times New Roman" w:cs="Times New Roman"/>
        </w:rPr>
        <w:t>ои</w:t>
      </w:r>
      <w:r w:rsidR="00857E46" w:rsidRPr="00B359BE">
        <w:rPr>
          <w:rFonts w:ascii="Times New Roman" w:hAnsi="Times New Roman" w:cs="Times New Roman"/>
        </w:rPr>
        <w:t xml:space="preserve">мость инвестиционного пая </w:t>
      </w:r>
      <w:r w:rsidR="00E91D86">
        <w:rPr>
          <w:rFonts w:ascii="Times New Roman" w:hAnsi="Times New Roman" w:cs="Times New Roman"/>
        </w:rPr>
        <w:t>-0</w:t>
      </w:r>
      <w:r w:rsidR="00B978F7">
        <w:rPr>
          <w:rFonts w:ascii="Times New Roman" w:hAnsi="Times New Roman" w:cs="Times New Roman"/>
        </w:rPr>
        <w:t xml:space="preserve"> </w:t>
      </w:r>
      <w:r w:rsidRPr="00B359BE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F03B7C" w:rsidRDefault="00F03B7C" w:rsidP="00E86A10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7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</w:t>
      </w:r>
      <w:bookmarkStart w:id="0" w:name="_GoBack"/>
      <w:bookmarkEnd w:id="0"/>
      <w:r w:rsidRPr="00DC6881">
        <w:rPr>
          <w:rFonts w:ascii="Times New Roman" w:hAnsi="Times New Roman" w:cs="Times New Roman"/>
        </w:rPr>
        <w:t>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7903AC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Специализированный депозитарий </w:t>
      </w:r>
      <w:r w:rsidR="007903AC" w:rsidRPr="007903AC">
        <w:rPr>
          <w:rFonts w:ascii="Times New Roman" w:hAnsi="Times New Roman" w:cs="Times New Roman"/>
        </w:rPr>
        <w:t>АО «НРК - Р.О.С.Т.» сайт rrost.ru</w:t>
      </w:r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</w:t>
      </w:r>
      <w:r w:rsidR="007903AC" w:rsidRPr="00520326">
        <w:rPr>
          <w:rFonts w:ascii="Times New Roman" w:hAnsi="Times New Roman" w:cs="Times New Roman"/>
        </w:rPr>
        <w:t>АО «НРК - Р.О.С.Т.»</w:t>
      </w:r>
      <w:r w:rsidR="007903AC">
        <w:rPr>
          <w:rFonts w:ascii="Times New Roman" w:hAnsi="Times New Roman" w:cs="Times New Roman"/>
        </w:rPr>
        <w:t xml:space="preserve"> </w:t>
      </w:r>
      <w:r w:rsidR="007903AC" w:rsidRPr="00DC6881">
        <w:rPr>
          <w:rFonts w:ascii="Times New Roman" w:hAnsi="Times New Roman" w:cs="Times New Roman"/>
        </w:rPr>
        <w:t xml:space="preserve">сайт </w:t>
      </w:r>
      <w:r w:rsidR="007903AC" w:rsidRPr="00520326">
        <w:rPr>
          <w:rStyle w:val="a4"/>
          <w:rFonts w:ascii="Times New Roman" w:hAnsi="Times New Roman" w:cs="Times New Roman"/>
        </w:rPr>
        <w:t>rrost.ru</w:t>
      </w:r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0D43"/>
    <w:rsid w:val="000025DD"/>
    <w:rsid w:val="00017BD7"/>
    <w:rsid w:val="0002200E"/>
    <w:rsid w:val="00023662"/>
    <w:rsid w:val="000260F3"/>
    <w:rsid w:val="00027815"/>
    <w:rsid w:val="00027B50"/>
    <w:rsid w:val="00051110"/>
    <w:rsid w:val="0006284F"/>
    <w:rsid w:val="00095FC0"/>
    <w:rsid w:val="000A4714"/>
    <w:rsid w:val="000B2EB7"/>
    <w:rsid w:val="000C7A87"/>
    <w:rsid w:val="000E53C6"/>
    <w:rsid w:val="000E731C"/>
    <w:rsid w:val="000F14CB"/>
    <w:rsid w:val="00114733"/>
    <w:rsid w:val="0011736B"/>
    <w:rsid w:val="00120040"/>
    <w:rsid w:val="00125C95"/>
    <w:rsid w:val="0012727D"/>
    <w:rsid w:val="00140757"/>
    <w:rsid w:val="00151D58"/>
    <w:rsid w:val="0015279F"/>
    <w:rsid w:val="00182E71"/>
    <w:rsid w:val="001869AA"/>
    <w:rsid w:val="001A09AD"/>
    <w:rsid w:val="001A09C3"/>
    <w:rsid w:val="001A341E"/>
    <w:rsid w:val="001A5C60"/>
    <w:rsid w:val="001B3C1D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5238"/>
    <w:rsid w:val="00266B1B"/>
    <w:rsid w:val="00291F64"/>
    <w:rsid w:val="002943C9"/>
    <w:rsid w:val="00296984"/>
    <w:rsid w:val="002A677F"/>
    <w:rsid w:val="002B33AE"/>
    <w:rsid w:val="002B717B"/>
    <w:rsid w:val="002D66D3"/>
    <w:rsid w:val="002E39BE"/>
    <w:rsid w:val="002E586B"/>
    <w:rsid w:val="003039D5"/>
    <w:rsid w:val="00317821"/>
    <w:rsid w:val="00332715"/>
    <w:rsid w:val="00337F40"/>
    <w:rsid w:val="003531F8"/>
    <w:rsid w:val="00355BFB"/>
    <w:rsid w:val="00363F20"/>
    <w:rsid w:val="00371B38"/>
    <w:rsid w:val="00397D34"/>
    <w:rsid w:val="003A2EDF"/>
    <w:rsid w:val="003C59CB"/>
    <w:rsid w:val="003D6EB9"/>
    <w:rsid w:val="003F11DC"/>
    <w:rsid w:val="00453067"/>
    <w:rsid w:val="00460EFB"/>
    <w:rsid w:val="00471695"/>
    <w:rsid w:val="00471BE3"/>
    <w:rsid w:val="00480604"/>
    <w:rsid w:val="004912BC"/>
    <w:rsid w:val="00494E7C"/>
    <w:rsid w:val="004A0ABA"/>
    <w:rsid w:val="004A0F96"/>
    <w:rsid w:val="004A3ED4"/>
    <w:rsid w:val="004A5F5B"/>
    <w:rsid w:val="004A695B"/>
    <w:rsid w:val="004A7617"/>
    <w:rsid w:val="004B31DD"/>
    <w:rsid w:val="004B5AD6"/>
    <w:rsid w:val="004C246B"/>
    <w:rsid w:val="004C531F"/>
    <w:rsid w:val="004E1105"/>
    <w:rsid w:val="00505626"/>
    <w:rsid w:val="005275A5"/>
    <w:rsid w:val="0053115A"/>
    <w:rsid w:val="00542670"/>
    <w:rsid w:val="00556624"/>
    <w:rsid w:val="0056065D"/>
    <w:rsid w:val="00572500"/>
    <w:rsid w:val="00572DEF"/>
    <w:rsid w:val="00592EEE"/>
    <w:rsid w:val="0059325E"/>
    <w:rsid w:val="005944D7"/>
    <w:rsid w:val="005B52ED"/>
    <w:rsid w:val="005B7F8E"/>
    <w:rsid w:val="005D6F19"/>
    <w:rsid w:val="005E1B0D"/>
    <w:rsid w:val="005E7FD3"/>
    <w:rsid w:val="005F0B16"/>
    <w:rsid w:val="00605E91"/>
    <w:rsid w:val="006913D4"/>
    <w:rsid w:val="006A1241"/>
    <w:rsid w:val="006A22BA"/>
    <w:rsid w:val="006D6FD8"/>
    <w:rsid w:val="006F2F17"/>
    <w:rsid w:val="006F4A79"/>
    <w:rsid w:val="006F5590"/>
    <w:rsid w:val="00707BAC"/>
    <w:rsid w:val="0071599F"/>
    <w:rsid w:val="00730DC1"/>
    <w:rsid w:val="00732F34"/>
    <w:rsid w:val="00734072"/>
    <w:rsid w:val="00746CDF"/>
    <w:rsid w:val="00753F8D"/>
    <w:rsid w:val="00754036"/>
    <w:rsid w:val="007545EE"/>
    <w:rsid w:val="00771D43"/>
    <w:rsid w:val="007903AC"/>
    <w:rsid w:val="007B0369"/>
    <w:rsid w:val="007C0C33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3278E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0A8F"/>
    <w:rsid w:val="0092547B"/>
    <w:rsid w:val="00925DE2"/>
    <w:rsid w:val="0092647E"/>
    <w:rsid w:val="009324F6"/>
    <w:rsid w:val="009374E5"/>
    <w:rsid w:val="009476DE"/>
    <w:rsid w:val="0096067C"/>
    <w:rsid w:val="00992C38"/>
    <w:rsid w:val="009B4EE8"/>
    <w:rsid w:val="009B6409"/>
    <w:rsid w:val="009E2206"/>
    <w:rsid w:val="00A05C24"/>
    <w:rsid w:val="00A06CE4"/>
    <w:rsid w:val="00A163AF"/>
    <w:rsid w:val="00A22D37"/>
    <w:rsid w:val="00A332EF"/>
    <w:rsid w:val="00A4283B"/>
    <w:rsid w:val="00A507DB"/>
    <w:rsid w:val="00A6551F"/>
    <w:rsid w:val="00A82F0A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359BE"/>
    <w:rsid w:val="00B40149"/>
    <w:rsid w:val="00B606BD"/>
    <w:rsid w:val="00B813E9"/>
    <w:rsid w:val="00B85523"/>
    <w:rsid w:val="00B96978"/>
    <w:rsid w:val="00B978F7"/>
    <w:rsid w:val="00BA51E5"/>
    <w:rsid w:val="00BB7D74"/>
    <w:rsid w:val="00BE02D9"/>
    <w:rsid w:val="00BE21F7"/>
    <w:rsid w:val="00BF334D"/>
    <w:rsid w:val="00BF6C4E"/>
    <w:rsid w:val="00C1165F"/>
    <w:rsid w:val="00C27C00"/>
    <w:rsid w:val="00C42C79"/>
    <w:rsid w:val="00C45E2F"/>
    <w:rsid w:val="00C46E0F"/>
    <w:rsid w:val="00C67365"/>
    <w:rsid w:val="00C74B53"/>
    <w:rsid w:val="00C765C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CF33F0"/>
    <w:rsid w:val="00CF5544"/>
    <w:rsid w:val="00CF600B"/>
    <w:rsid w:val="00D11B91"/>
    <w:rsid w:val="00D322DC"/>
    <w:rsid w:val="00DB4167"/>
    <w:rsid w:val="00DC6881"/>
    <w:rsid w:val="00DD08D1"/>
    <w:rsid w:val="00DD0F8F"/>
    <w:rsid w:val="00DF1144"/>
    <w:rsid w:val="00DF650D"/>
    <w:rsid w:val="00E140FD"/>
    <w:rsid w:val="00E2258C"/>
    <w:rsid w:val="00E23B00"/>
    <w:rsid w:val="00E37012"/>
    <w:rsid w:val="00E6411E"/>
    <w:rsid w:val="00E749E7"/>
    <w:rsid w:val="00E775D4"/>
    <w:rsid w:val="00E86A10"/>
    <w:rsid w:val="00E91D86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kif-fs.uk.lan\storage$\groups\&#1050;&#1086;&#1085;&#1090;&#1088;&#1086;&#1083;&#1100;\&#1053;&#1042;&#1043;\&#1050;&#1048;&#1044;\&#1050;&#1048;&#1044;&#1099;\2024.01.31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4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Доходность за календарный год, %</a:t>
            </a:r>
            <a:endParaRPr lang="ru-RU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%'!$A$14:$A$18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'Доходность за календарный год %'!$B$14:$B$18</c:f>
              <c:numCache>
                <c:formatCode>#,##0.00</c:formatCode>
                <c:ptCount val="5"/>
                <c:pt idx="0">
                  <c:v>-46.16</c:v>
                </c:pt>
                <c:pt idx="1">
                  <c:v>-22.37</c:v>
                </c:pt>
                <c:pt idx="2">
                  <c:v>-10.98</c:v>
                </c:pt>
                <c:pt idx="3">
                  <c:v>-16.190000000000001</c:v>
                </c:pt>
                <c:pt idx="4">
                  <c:v>-100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8716760"/>
        <c:axId val="768717152"/>
      </c:barChart>
      <c:catAx>
        <c:axId val="768716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717152"/>
        <c:crosses val="autoZero"/>
        <c:auto val="1"/>
        <c:lblAlgn val="ctr"/>
        <c:lblOffset val="100"/>
        <c:noMultiLvlLbl val="0"/>
      </c:catAx>
      <c:valAx>
        <c:axId val="76871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716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F7C3-D213-4FCB-9800-10F6A338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2024-04-05T13:35:00Z</dcterms:created>
  <dcterms:modified xsi:type="dcterms:W3CDTF">2024-04-05T13:36:00Z</dcterms:modified>
</cp:coreProperties>
</file>