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881" w:rsidRPr="00C45E2F" w:rsidRDefault="00DC6881" w:rsidP="00DC68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5E2F">
        <w:rPr>
          <w:rFonts w:ascii="Times New Roman" w:hAnsi="Times New Roman" w:cs="Times New Roman"/>
          <w:b/>
          <w:sz w:val="28"/>
          <w:szCs w:val="28"/>
        </w:rPr>
        <w:t>Ключевой информационный документ</w:t>
      </w:r>
    </w:p>
    <w:p w:rsidR="002E586B" w:rsidRPr="00C45E2F" w:rsidRDefault="00DC6881" w:rsidP="00DC68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5E2F">
        <w:rPr>
          <w:rFonts w:ascii="Times New Roman" w:hAnsi="Times New Roman" w:cs="Times New Roman"/>
          <w:b/>
          <w:sz w:val="28"/>
          <w:szCs w:val="28"/>
        </w:rPr>
        <w:t>о паевом инвестиционном фонде</w:t>
      </w:r>
    </w:p>
    <w:p w:rsidR="00DC6881" w:rsidRDefault="00DC6881" w:rsidP="00DC6881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</w:rPr>
      </w:pPr>
    </w:p>
    <w:p w:rsidR="00C45E2F" w:rsidRDefault="00C45E2F" w:rsidP="00DC6881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</w:rPr>
      </w:pPr>
    </w:p>
    <w:p w:rsidR="00DC6881" w:rsidRDefault="00DC6881" w:rsidP="00C45E2F">
      <w:pPr>
        <w:spacing w:before="120" w:after="120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Раздел 1. Общие сведения</w:t>
      </w:r>
    </w:p>
    <w:p w:rsidR="004B5AD6" w:rsidRPr="00DC6881" w:rsidRDefault="004B5AD6" w:rsidP="00DC6881">
      <w:pPr>
        <w:spacing w:after="0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 xml:space="preserve">Ключевой информационный документ </w:t>
      </w:r>
      <w:r w:rsidR="00F90357">
        <w:rPr>
          <w:rFonts w:ascii="Times New Roman" w:hAnsi="Times New Roman" w:cs="Times New Roman"/>
        </w:rPr>
        <w:t xml:space="preserve">по состоянию на </w:t>
      </w:r>
      <w:r w:rsidR="00D322DC" w:rsidRPr="00B359BE">
        <w:rPr>
          <w:rFonts w:ascii="Times New Roman" w:hAnsi="Times New Roman" w:cs="Times New Roman"/>
        </w:rPr>
        <w:t>3</w:t>
      </w:r>
      <w:r w:rsidR="00920A8F" w:rsidRPr="00B359BE">
        <w:rPr>
          <w:rFonts w:ascii="Times New Roman" w:hAnsi="Times New Roman" w:cs="Times New Roman"/>
        </w:rPr>
        <w:t>1</w:t>
      </w:r>
      <w:r w:rsidR="00F90357" w:rsidRPr="00B359BE">
        <w:rPr>
          <w:rFonts w:ascii="Times New Roman" w:hAnsi="Times New Roman" w:cs="Times New Roman"/>
        </w:rPr>
        <w:t>.0</w:t>
      </w:r>
      <w:r w:rsidR="000E731C">
        <w:rPr>
          <w:rFonts w:ascii="Times New Roman" w:hAnsi="Times New Roman" w:cs="Times New Roman"/>
        </w:rPr>
        <w:t>8</w:t>
      </w:r>
      <w:r w:rsidR="00F90357" w:rsidRPr="00B359BE">
        <w:rPr>
          <w:rFonts w:ascii="Times New Roman" w:hAnsi="Times New Roman" w:cs="Times New Roman"/>
        </w:rPr>
        <w:t>.2023</w:t>
      </w:r>
      <w:r w:rsidR="002A677F" w:rsidRPr="00DC6881">
        <w:rPr>
          <w:rFonts w:ascii="Times New Roman" w:hAnsi="Times New Roman" w:cs="Times New Roman"/>
        </w:rPr>
        <w:t xml:space="preserve"> года.</w:t>
      </w:r>
    </w:p>
    <w:p w:rsidR="004B5AD6" w:rsidRPr="00DC6881" w:rsidRDefault="004B5AD6" w:rsidP="00DC6881">
      <w:pPr>
        <w:spacing w:after="0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</w:t>
      </w:r>
      <w:r w:rsidR="00EF6D1E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а также для возможности его сравнения с другими инструментами инвестирования.</w:t>
      </w:r>
    </w:p>
    <w:p w:rsidR="0002200E" w:rsidRPr="00DC6881" w:rsidRDefault="0002200E" w:rsidP="004B5AD6">
      <w:pPr>
        <w:spacing w:after="0"/>
        <w:rPr>
          <w:rFonts w:ascii="Times New Roman" w:hAnsi="Times New Roman" w:cs="Times New Roman"/>
        </w:rPr>
      </w:pPr>
    </w:p>
    <w:p w:rsidR="0002200E" w:rsidRPr="00DC6881" w:rsidRDefault="0002200E" w:rsidP="0002200E">
      <w:pPr>
        <w:spacing w:after="0"/>
        <w:rPr>
          <w:rFonts w:ascii="Times New Roman" w:hAnsi="Times New Roman" w:cs="Times New Roman"/>
          <w:b/>
        </w:rPr>
      </w:pPr>
      <w:r w:rsidRPr="00DC6881">
        <w:rPr>
          <w:rFonts w:ascii="Times New Roman" w:hAnsi="Times New Roman" w:cs="Times New Roman"/>
          <w:b/>
        </w:rPr>
        <w:t>Закрытый паевой инвестиционный фонд недвижимости «</w:t>
      </w:r>
      <w:r w:rsidR="00572DEF" w:rsidRPr="00DC6881">
        <w:rPr>
          <w:rFonts w:ascii="Times New Roman" w:hAnsi="Times New Roman" w:cs="Times New Roman"/>
          <w:b/>
        </w:rPr>
        <w:t>Собрание</w:t>
      </w:r>
      <w:r w:rsidRPr="00DC6881">
        <w:rPr>
          <w:rFonts w:ascii="Times New Roman" w:hAnsi="Times New Roman" w:cs="Times New Roman"/>
          <w:b/>
        </w:rPr>
        <w:t>»</w:t>
      </w:r>
    </w:p>
    <w:p w:rsidR="002A677F" w:rsidRDefault="002A677F" w:rsidP="00C45E2F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под управлением Общества с ограниченной ответственностью «Управляющая компания «Навигатор»</w:t>
      </w:r>
    </w:p>
    <w:p w:rsidR="00C45E2F" w:rsidRPr="00DC6881" w:rsidRDefault="00C45E2F" w:rsidP="00C45E2F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</w:p>
    <w:p w:rsidR="002A677F" w:rsidRPr="00DC6881" w:rsidRDefault="002A677F" w:rsidP="00C45E2F">
      <w:pPr>
        <w:spacing w:before="120" w:after="120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Раздел 2. Внимание</w:t>
      </w:r>
    </w:p>
    <w:p w:rsidR="00027B50" w:rsidRPr="00DC6881" w:rsidRDefault="00027B50" w:rsidP="00F85820">
      <w:pPr>
        <w:pStyle w:val="ConsPlusNormal"/>
        <w:numPr>
          <w:ilvl w:val="0"/>
          <w:numId w:val="1"/>
        </w:numPr>
        <w:ind w:left="357" w:hanging="357"/>
        <w:jc w:val="both"/>
        <w:rPr>
          <w:rFonts w:ascii="Times New Roman" w:eastAsiaTheme="minorHAnsi" w:hAnsi="Times New Roman" w:cs="Times New Roman"/>
          <w:szCs w:val="22"/>
          <w:lang w:eastAsia="en-US"/>
        </w:rPr>
      </w:pPr>
      <w:r w:rsidRPr="00DC6881">
        <w:rPr>
          <w:rFonts w:ascii="Times New Roman" w:eastAsiaTheme="minorHAnsi" w:hAnsi="Times New Roman" w:cs="Times New Roman"/>
          <w:szCs w:val="22"/>
          <w:lang w:eastAsia="en-US"/>
        </w:rPr>
        <w:t xml:space="preserve">Возврат и доходность инвестиций в паевой инвестиционный фонд не гарантированы государством или иными лицами. </w:t>
      </w:r>
    </w:p>
    <w:p w:rsidR="00F85820" w:rsidRPr="00DC6881" w:rsidRDefault="00F85820" w:rsidP="00F85820">
      <w:pPr>
        <w:pStyle w:val="ConsPlusNormal"/>
        <w:numPr>
          <w:ilvl w:val="0"/>
          <w:numId w:val="1"/>
        </w:numPr>
        <w:ind w:left="357" w:hanging="357"/>
        <w:jc w:val="both"/>
        <w:rPr>
          <w:rFonts w:ascii="Times New Roman" w:eastAsiaTheme="minorHAnsi" w:hAnsi="Times New Roman" w:cs="Times New Roman"/>
          <w:szCs w:val="22"/>
          <w:lang w:eastAsia="en-US"/>
        </w:rPr>
      </w:pPr>
      <w:r w:rsidRPr="00DC6881">
        <w:rPr>
          <w:rFonts w:ascii="Times New Roman" w:eastAsiaTheme="minorHAnsi" w:hAnsi="Times New Roman" w:cs="Times New Roman"/>
          <w:szCs w:val="22"/>
          <w:lang w:eastAsia="en-US"/>
        </w:rPr>
        <w:t>Результаты инвестирования в прошлом не определяют доходы в будущем. Стоимость инвестиционных паев может увеличиваться и уменьшаться.</w:t>
      </w:r>
    </w:p>
    <w:p w:rsidR="00F85820" w:rsidRPr="00DC6881" w:rsidRDefault="00F85820" w:rsidP="00F85820">
      <w:pPr>
        <w:pStyle w:val="ConsPlusNormal"/>
        <w:numPr>
          <w:ilvl w:val="0"/>
          <w:numId w:val="1"/>
        </w:numPr>
        <w:ind w:left="357" w:hanging="357"/>
        <w:jc w:val="both"/>
        <w:rPr>
          <w:rFonts w:ascii="Times New Roman" w:eastAsiaTheme="minorHAnsi" w:hAnsi="Times New Roman" w:cs="Times New Roman"/>
          <w:szCs w:val="22"/>
          <w:lang w:eastAsia="en-US"/>
        </w:rPr>
      </w:pPr>
      <w:r w:rsidRPr="00DC6881">
        <w:rPr>
          <w:rFonts w:ascii="Times New Roman" w:eastAsiaTheme="minorHAnsi" w:hAnsi="Times New Roman" w:cs="Times New Roman"/>
          <w:szCs w:val="22"/>
          <w:lang w:eastAsia="en-US"/>
        </w:rPr>
        <w:t>Прежде</w:t>
      </w:r>
      <w:r w:rsidR="00556624">
        <w:rPr>
          <w:rFonts w:ascii="Times New Roman" w:eastAsiaTheme="minorHAnsi" w:hAnsi="Times New Roman" w:cs="Times New Roman"/>
          <w:szCs w:val="22"/>
          <w:lang w:eastAsia="en-US"/>
        </w:rPr>
        <w:t>,</w:t>
      </w:r>
      <w:r w:rsidRPr="00DC6881">
        <w:rPr>
          <w:rFonts w:ascii="Times New Roman" w:eastAsiaTheme="minorHAnsi" w:hAnsi="Times New Roman" w:cs="Times New Roman"/>
          <w:szCs w:val="22"/>
          <w:lang w:eastAsia="en-US"/>
        </w:rPr>
        <w:t xml:space="preserve"> чем приобрести инвестиционный пай</w:t>
      </w:r>
      <w:r w:rsidR="00870A1D">
        <w:rPr>
          <w:rFonts w:ascii="Times New Roman" w:eastAsiaTheme="minorHAnsi" w:hAnsi="Times New Roman" w:cs="Times New Roman"/>
          <w:szCs w:val="22"/>
          <w:lang w:eastAsia="en-US"/>
        </w:rPr>
        <w:t>.</w:t>
      </w:r>
      <w:r w:rsidRPr="00DC6881">
        <w:rPr>
          <w:rFonts w:ascii="Times New Roman" w:eastAsiaTheme="minorHAnsi" w:hAnsi="Times New Roman" w:cs="Times New Roman"/>
          <w:szCs w:val="22"/>
          <w:lang w:eastAsia="en-US"/>
        </w:rPr>
        <w:t xml:space="preserve"> след</w:t>
      </w:r>
      <w:r w:rsidR="00BB7D74" w:rsidRPr="00DC6881">
        <w:rPr>
          <w:rFonts w:ascii="Times New Roman" w:eastAsiaTheme="minorHAnsi" w:hAnsi="Times New Roman" w:cs="Times New Roman"/>
          <w:szCs w:val="22"/>
          <w:lang w:eastAsia="en-US"/>
        </w:rPr>
        <w:t>ует внимательно ознакомиться с п</w:t>
      </w:r>
      <w:r w:rsidRPr="00DC6881">
        <w:rPr>
          <w:rFonts w:ascii="Times New Roman" w:eastAsiaTheme="minorHAnsi" w:hAnsi="Times New Roman" w:cs="Times New Roman"/>
          <w:szCs w:val="22"/>
          <w:lang w:eastAsia="en-US"/>
        </w:rPr>
        <w:t>равилами доверительного управле</w:t>
      </w:r>
      <w:r w:rsidR="00F0194C" w:rsidRPr="00DC6881">
        <w:rPr>
          <w:rFonts w:ascii="Times New Roman" w:eastAsiaTheme="minorHAnsi" w:hAnsi="Times New Roman" w:cs="Times New Roman"/>
          <w:szCs w:val="22"/>
          <w:lang w:eastAsia="en-US"/>
        </w:rPr>
        <w:t xml:space="preserve">ния </w:t>
      </w:r>
      <w:r w:rsidR="00572DEF" w:rsidRPr="00DC6881">
        <w:rPr>
          <w:rFonts w:ascii="Times New Roman" w:eastAsiaTheme="minorHAnsi" w:hAnsi="Times New Roman" w:cs="Times New Roman"/>
          <w:szCs w:val="22"/>
          <w:lang w:eastAsia="en-US"/>
        </w:rPr>
        <w:t>фондом</w:t>
      </w:r>
      <w:r w:rsidR="00875E8F">
        <w:rPr>
          <w:rFonts w:ascii="Times New Roman" w:eastAsiaTheme="minorHAnsi" w:hAnsi="Times New Roman" w:cs="Times New Roman"/>
          <w:szCs w:val="22"/>
          <w:lang w:eastAsia="en-US"/>
        </w:rPr>
        <w:t>,</w:t>
      </w:r>
      <w:r w:rsidR="00572DEF" w:rsidRPr="00DC6881">
        <w:rPr>
          <w:rFonts w:ascii="Times New Roman" w:eastAsiaTheme="minorHAnsi" w:hAnsi="Times New Roman" w:cs="Times New Roman"/>
          <w:szCs w:val="22"/>
          <w:lang w:eastAsia="en-US"/>
        </w:rPr>
        <w:t xml:space="preserve"> размещенными на сайте </w:t>
      </w:r>
      <w:hyperlink r:id="rId6" w:history="1">
        <w:r w:rsidR="00C45E2F" w:rsidRPr="00057DF5">
          <w:rPr>
            <w:rStyle w:val="a4"/>
            <w:rFonts w:ascii="Times New Roman" w:eastAsiaTheme="minorHAnsi" w:hAnsi="Times New Roman" w:cs="Times New Roman"/>
            <w:szCs w:val="22"/>
            <w:lang w:eastAsia="en-US"/>
          </w:rPr>
          <w:t>www.am-navigator.ru/ru/disclosure/sobranie/docs</w:t>
        </w:r>
      </w:hyperlink>
      <w:r w:rsidR="00BB7D74" w:rsidRPr="00DC6881">
        <w:rPr>
          <w:rFonts w:ascii="Times New Roman" w:eastAsiaTheme="minorHAnsi" w:hAnsi="Times New Roman" w:cs="Times New Roman"/>
          <w:szCs w:val="22"/>
          <w:lang w:eastAsia="en-US"/>
        </w:rPr>
        <w:t>.</w:t>
      </w:r>
      <w:r w:rsidR="00572DEF" w:rsidRPr="00DC6881">
        <w:rPr>
          <w:rFonts w:ascii="Times New Roman" w:eastAsiaTheme="minorHAnsi" w:hAnsi="Times New Roman" w:cs="Times New Roman"/>
          <w:szCs w:val="22"/>
          <w:lang w:eastAsia="en-US"/>
        </w:rPr>
        <w:t xml:space="preserve"> </w:t>
      </w:r>
    </w:p>
    <w:p w:rsidR="00B053A3" w:rsidRPr="00C45E2F" w:rsidRDefault="00BA51E5" w:rsidP="00BA51E5">
      <w:pPr>
        <w:pStyle w:val="ConsPlusNormal"/>
        <w:numPr>
          <w:ilvl w:val="0"/>
          <w:numId w:val="1"/>
        </w:numPr>
        <w:pBdr>
          <w:bottom w:val="single" w:sz="12" w:space="1" w:color="auto"/>
        </w:pBdr>
        <w:ind w:left="284" w:hanging="284"/>
        <w:jc w:val="both"/>
        <w:rPr>
          <w:rFonts w:ascii="Times New Roman" w:eastAsiaTheme="minorHAnsi" w:hAnsi="Times New Roman" w:cs="Times New Roman"/>
          <w:szCs w:val="22"/>
          <w:lang w:eastAsia="en-US"/>
        </w:rPr>
      </w:pPr>
      <w:r w:rsidRPr="00BA51E5">
        <w:rPr>
          <w:rFonts w:ascii="Times New Roman" w:hAnsi="Times New Roman" w:cs="Times New Roman"/>
        </w:rPr>
        <w:t>Вы можете погасить инвестиционные паи паевого инвестиционного фонда и требовать выплаты в связи с этим денежной компенсации, соразмерной приходящейся на них доле в праве общей собственно</w:t>
      </w:r>
      <w:r>
        <w:rPr>
          <w:rFonts w:ascii="Times New Roman" w:hAnsi="Times New Roman" w:cs="Times New Roman"/>
        </w:rPr>
        <w:t>сти на имущество, составляющее ф</w:t>
      </w:r>
      <w:r w:rsidRPr="00BA51E5">
        <w:rPr>
          <w:rFonts w:ascii="Times New Roman" w:hAnsi="Times New Roman" w:cs="Times New Roman"/>
        </w:rPr>
        <w:t>онд, в случаях, предусмотренных Федеральным законом «Об инвестиционных фондах» от 29.11.2001 N 156-ФЗ и правилами доверительного управл</w:t>
      </w:r>
      <w:r>
        <w:rPr>
          <w:rFonts w:ascii="Times New Roman" w:hAnsi="Times New Roman" w:cs="Times New Roman"/>
        </w:rPr>
        <w:t>ения ф</w:t>
      </w:r>
      <w:r w:rsidRPr="00BA51E5">
        <w:rPr>
          <w:rFonts w:ascii="Times New Roman" w:hAnsi="Times New Roman" w:cs="Times New Roman"/>
        </w:rPr>
        <w:t>ондом</w:t>
      </w:r>
      <w:r w:rsidR="00B053A3" w:rsidRPr="00DC6881">
        <w:rPr>
          <w:rFonts w:ascii="Times New Roman" w:hAnsi="Times New Roman" w:cs="Times New Roman"/>
        </w:rPr>
        <w:t>.</w:t>
      </w:r>
    </w:p>
    <w:p w:rsidR="00C45E2F" w:rsidRPr="00C45E2F" w:rsidRDefault="00C45E2F" w:rsidP="00C45E2F">
      <w:pPr>
        <w:pStyle w:val="ConsPlusNormal"/>
        <w:pBdr>
          <w:bottom w:val="single" w:sz="12" w:space="1" w:color="auto"/>
        </w:pBdr>
        <w:jc w:val="both"/>
        <w:rPr>
          <w:rFonts w:ascii="Times New Roman" w:eastAsiaTheme="minorHAnsi" w:hAnsi="Times New Roman" w:cs="Times New Roman"/>
          <w:szCs w:val="22"/>
          <w:lang w:eastAsia="en-US"/>
        </w:rPr>
      </w:pPr>
    </w:p>
    <w:p w:rsidR="002A677F" w:rsidRPr="00DC6881" w:rsidRDefault="00DB4167" w:rsidP="00C45E2F">
      <w:pPr>
        <w:spacing w:before="120" w:after="120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Раздел 3. Инвестиционная стратегия</w:t>
      </w:r>
    </w:p>
    <w:p w:rsidR="00821E81" w:rsidRPr="00DC6881" w:rsidRDefault="00DB4167" w:rsidP="001F7ADA">
      <w:pPr>
        <w:pStyle w:val="a5"/>
        <w:numPr>
          <w:ilvl w:val="0"/>
          <w:numId w:val="2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Инвестиционной стратеги</w:t>
      </w:r>
      <w:r w:rsidR="00C9036F" w:rsidRPr="00DC6881">
        <w:rPr>
          <w:rFonts w:ascii="Times New Roman" w:hAnsi="Times New Roman" w:cs="Times New Roman"/>
        </w:rPr>
        <w:t xml:space="preserve">ей управляющей компании </w:t>
      </w:r>
      <w:r w:rsidRPr="00DC6881">
        <w:rPr>
          <w:rFonts w:ascii="Times New Roman" w:hAnsi="Times New Roman" w:cs="Times New Roman"/>
        </w:rPr>
        <w:t>фонда является активное управление имуществом</w:t>
      </w:r>
      <w:r w:rsidR="00DF1144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составляющим паевой инвестиционный фонд</w:t>
      </w:r>
      <w:r w:rsidR="00DF1144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в </w:t>
      </w:r>
      <w:r w:rsidR="003A2EDF" w:rsidRPr="00DC6881">
        <w:rPr>
          <w:rFonts w:ascii="Times New Roman" w:hAnsi="Times New Roman" w:cs="Times New Roman"/>
        </w:rPr>
        <w:t>соответствии</w:t>
      </w:r>
      <w:r w:rsidRPr="00DC6881">
        <w:rPr>
          <w:rFonts w:ascii="Times New Roman" w:hAnsi="Times New Roman" w:cs="Times New Roman"/>
        </w:rPr>
        <w:t xml:space="preserve"> с его инвестиционной декларацией</w:t>
      </w:r>
      <w:r w:rsidR="009374E5" w:rsidRPr="00DC6881">
        <w:rPr>
          <w:rFonts w:ascii="Times New Roman" w:hAnsi="Times New Roman" w:cs="Times New Roman"/>
        </w:rPr>
        <w:t>.</w:t>
      </w:r>
      <w:r w:rsidR="00C9036F" w:rsidRPr="00DC6881">
        <w:rPr>
          <w:rFonts w:ascii="Times New Roman" w:hAnsi="Times New Roman" w:cs="Times New Roman"/>
        </w:rPr>
        <w:t xml:space="preserve"> </w:t>
      </w:r>
    </w:p>
    <w:p w:rsidR="00821E81" w:rsidRPr="00DC6881" w:rsidRDefault="00C9036F" w:rsidP="001F7ADA">
      <w:pPr>
        <w:pStyle w:val="a5"/>
        <w:numPr>
          <w:ilvl w:val="0"/>
          <w:numId w:val="2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 xml:space="preserve">Основной объем активов в управлении инвестирован в недвижимое имущество. </w:t>
      </w:r>
    </w:p>
    <w:p w:rsidR="00821E81" w:rsidRPr="00DC6881" w:rsidRDefault="00C9036F" w:rsidP="001F7ADA">
      <w:pPr>
        <w:pStyle w:val="a5"/>
        <w:numPr>
          <w:ilvl w:val="0"/>
          <w:numId w:val="2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Временно свободные денежные средства размещаются преимущественно на депозиты в кредитных организациях.</w:t>
      </w:r>
      <w:r w:rsidR="00F940CD" w:rsidRPr="00DC6881">
        <w:rPr>
          <w:rFonts w:ascii="Times New Roman" w:hAnsi="Times New Roman" w:cs="Times New Roman"/>
        </w:rPr>
        <w:t xml:space="preserve"> </w:t>
      </w:r>
    </w:p>
    <w:p w:rsidR="00DC6881" w:rsidRDefault="00F940CD" w:rsidP="001F7ADA">
      <w:pPr>
        <w:pStyle w:val="a5"/>
        <w:numPr>
          <w:ilvl w:val="0"/>
          <w:numId w:val="2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Активы паевого инвестиц</w:t>
      </w:r>
      <w:r w:rsidR="00F85240">
        <w:rPr>
          <w:rFonts w:ascii="Times New Roman" w:hAnsi="Times New Roman" w:cs="Times New Roman"/>
        </w:rPr>
        <w:t>и</w:t>
      </w:r>
      <w:r w:rsidR="00317821">
        <w:rPr>
          <w:rFonts w:ascii="Times New Roman" w:hAnsi="Times New Roman" w:cs="Times New Roman"/>
        </w:rPr>
        <w:t xml:space="preserve">онного фонда инвестированы </w:t>
      </w:r>
      <w:r w:rsidR="00317821" w:rsidRPr="00B359BE">
        <w:rPr>
          <w:rFonts w:ascii="Times New Roman" w:hAnsi="Times New Roman" w:cs="Times New Roman"/>
        </w:rPr>
        <w:t xml:space="preserve">в </w:t>
      </w:r>
      <w:r w:rsidR="000E731C">
        <w:rPr>
          <w:rFonts w:ascii="Times New Roman" w:hAnsi="Times New Roman" w:cs="Times New Roman"/>
        </w:rPr>
        <w:t>10</w:t>
      </w:r>
      <w:r w:rsidR="00505626">
        <w:rPr>
          <w:rFonts w:ascii="Times New Roman" w:hAnsi="Times New Roman" w:cs="Times New Roman"/>
        </w:rPr>
        <w:t xml:space="preserve"> позиций</w:t>
      </w:r>
      <w:r w:rsidR="00821E81" w:rsidRPr="00DC6881">
        <w:rPr>
          <w:rFonts w:ascii="Times New Roman" w:hAnsi="Times New Roman" w:cs="Times New Roman"/>
        </w:rPr>
        <w:t>.</w:t>
      </w:r>
    </w:p>
    <w:p w:rsidR="00B606BD" w:rsidRPr="00DC6881" w:rsidRDefault="00D11B91" w:rsidP="001F7ADA">
      <w:pPr>
        <w:pStyle w:val="a5"/>
        <w:numPr>
          <w:ilvl w:val="0"/>
          <w:numId w:val="2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Крупнейшие объекты инвестирования в активах</w:t>
      </w:r>
    </w:p>
    <w:p w:rsidR="00363F20" w:rsidRPr="00DC6881" w:rsidRDefault="00363F20" w:rsidP="004B5AD6">
      <w:pPr>
        <w:spacing w:after="0"/>
        <w:rPr>
          <w:rFonts w:ascii="Times New Roman" w:hAnsi="Times New Roman" w:cs="Times New Roman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4"/>
        <w:gridCol w:w="7101"/>
        <w:gridCol w:w="2126"/>
      </w:tblGrid>
      <w:tr w:rsidR="006A1241" w:rsidRPr="00DC6881" w:rsidTr="00D452C6">
        <w:trPr>
          <w:trHeight w:val="712"/>
        </w:trPr>
        <w:tc>
          <w:tcPr>
            <w:tcW w:w="554" w:type="dxa"/>
            <w:shd w:val="clear" w:color="auto" w:fill="auto"/>
            <w:vAlign w:val="bottom"/>
            <w:hideMark/>
          </w:tcPr>
          <w:p w:rsidR="006A1241" w:rsidRPr="006A1241" w:rsidRDefault="006A1241" w:rsidP="006A124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1241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7101" w:type="dxa"/>
            <w:shd w:val="clear" w:color="auto" w:fill="auto"/>
            <w:noWrap/>
            <w:vAlign w:val="bottom"/>
            <w:hideMark/>
          </w:tcPr>
          <w:p w:rsidR="006A1241" w:rsidRPr="006A1241" w:rsidRDefault="006A1241" w:rsidP="006A124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1241"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A1241" w:rsidRPr="006A1241" w:rsidRDefault="006A1241" w:rsidP="006A124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1241">
              <w:rPr>
                <w:rFonts w:ascii="Times New Roman" w:hAnsi="Times New Roman" w:cs="Times New Roman"/>
                <w:b/>
                <w:bCs/>
              </w:rPr>
              <w:t>Доля активов в %</w:t>
            </w:r>
          </w:p>
        </w:tc>
      </w:tr>
      <w:tr w:rsidR="00140757" w:rsidRPr="00DC6881" w:rsidTr="00A44E6B">
        <w:trPr>
          <w:trHeight w:val="349"/>
        </w:trPr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40757" w:rsidRPr="006A1241" w:rsidRDefault="00140757" w:rsidP="00140757">
            <w:pPr>
              <w:jc w:val="right"/>
              <w:rPr>
                <w:rFonts w:ascii="Times New Roman" w:hAnsi="Times New Roman" w:cs="Times New Roman"/>
              </w:rPr>
            </w:pPr>
            <w:r w:rsidRPr="006A12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01" w:type="dxa"/>
            <w:shd w:val="clear" w:color="auto" w:fill="auto"/>
            <w:hideMark/>
          </w:tcPr>
          <w:p w:rsidR="00140757" w:rsidRPr="00C765C3" w:rsidRDefault="0083278E" w:rsidP="00140757">
            <w:pPr>
              <w:rPr>
                <w:rFonts w:ascii="Times New Roman" w:hAnsi="Times New Roman" w:cs="Times New Roman"/>
              </w:rPr>
            </w:pPr>
            <w:r w:rsidRPr="00C765C3">
              <w:rPr>
                <w:rFonts w:ascii="Times New Roman" w:hAnsi="Times New Roman" w:cs="Times New Roman"/>
              </w:rPr>
              <w:t>Депозит в кредитной организации БАНК ГПБ (АО) (денежные средства)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40757" w:rsidRPr="00B359BE" w:rsidRDefault="0083278E" w:rsidP="000E731C">
            <w:pPr>
              <w:jc w:val="right"/>
              <w:rPr>
                <w:rFonts w:ascii="Times New Roman" w:hAnsi="Times New Roman" w:cs="Times New Roman"/>
              </w:rPr>
            </w:pPr>
            <w:r w:rsidRPr="00B359BE">
              <w:rPr>
                <w:rFonts w:ascii="Times New Roman" w:hAnsi="Times New Roman" w:cs="Times New Roman"/>
              </w:rPr>
              <w:t>9</w:t>
            </w:r>
            <w:r w:rsidR="000E731C">
              <w:rPr>
                <w:rFonts w:ascii="Times New Roman" w:hAnsi="Times New Roman" w:cs="Times New Roman"/>
              </w:rPr>
              <w:t>7</w:t>
            </w:r>
            <w:r w:rsidR="00140757" w:rsidRPr="00B359BE">
              <w:rPr>
                <w:rFonts w:ascii="Times New Roman" w:hAnsi="Times New Roman" w:cs="Times New Roman"/>
              </w:rPr>
              <w:t>,</w:t>
            </w:r>
            <w:r w:rsidR="000E731C">
              <w:rPr>
                <w:rFonts w:ascii="Times New Roman" w:hAnsi="Times New Roman" w:cs="Times New Roman"/>
              </w:rPr>
              <w:t>2</w:t>
            </w:r>
            <w:r w:rsidRPr="00B359BE">
              <w:rPr>
                <w:rFonts w:ascii="Times New Roman" w:hAnsi="Times New Roman" w:cs="Times New Roman"/>
              </w:rPr>
              <w:t>2</w:t>
            </w:r>
          </w:p>
        </w:tc>
      </w:tr>
      <w:tr w:rsidR="006A1241" w:rsidRPr="00DC6881" w:rsidTr="00D452C6">
        <w:trPr>
          <w:trHeight w:val="327"/>
        </w:trPr>
        <w:tc>
          <w:tcPr>
            <w:tcW w:w="554" w:type="dxa"/>
            <w:shd w:val="clear" w:color="auto" w:fill="auto"/>
            <w:noWrap/>
            <w:vAlign w:val="bottom"/>
          </w:tcPr>
          <w:p w:rsidR="006A1241" w:rsidRPr="006A1241" w:rsidRDefault="006A1241" w:rsidP="006A1241">
            <w:pPr>
              <w:jc w:val="right"/>
              <w:rPr>
                <w:rFonts w:ascii="Times New Roman" w:hAnsi="Times New Roman" w:cs="Times New Roman"/>
              </w:rPr>
            </w:pPr>
            <w:r w:rsidRPr="006A124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01" w:type="dxa"/>
            <w:shd w:val="clear" w:color="auto" w:fill="auto"/>
            <w:vAlign w:val="bottom"/>
          </w:tcPr>
          <w:p w:rsidR="006A1241" w:rsidRPr="006A1241" w:rsidRDefault="0083278E" w:rsidP="006A1241">
            <w:pPr>
              <w:rPr>
                <w:rFonts w:ascii="Times New Roman" w:hAnsi="Times New Roman" w:cs="Times New Roman"/>
              </w:rPr>
            </w:pPr>
            <w:r w:rsidRPr="0083278E">
              <w:rPr>
                <w:rFonts w:ascii="Times New Roman" w:hAnsi="Times New Roman" w:cs="Times New Roman"/>
              </w:rPr>
              <w:t>Остатки на р/с ПАО БАНК "ФК ОТКРЫТИЕ" (денежные средства)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6A1241" w:rsidRPr="00B359BE" w:rsidRDefault="000E731C" w:rsidP="000E731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40757" w:rsidRPr="00B359B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71</w:t>
            </w:r>
          </w:p>
        </w:tc>
      </w:tr>
      <w:tr w:rsidR="00920A8F" w:rsidRPr="00DC6881" w:rsidTr="00D452C6">
        <w:trPr>
          <w:trHeight w:val="327"/>
        </w:trPr>
        <w:tc>
          <w:tcPr>
            <w:tcW w:w="554" w:type="dxa"/>
            <w:shd w:val="clear" w:color="auto" w:fill="auto"/>
            <w:noWrap/>
            <w:vAlign w:val="bottom"/>
          </w:tcPr>
          <w:p w:rsidR="00920A8F" w:rsidRPr="006A1241" w:rsidRDefault="00920A8F" w:rsidP="006A124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101" w:type="dxa"/>
            <w:shd w:val="clear" w:color="auto" w:fill="auto"/>
            <w:vAlign w:val="bottom"/>
          </w:tcPr>
          <w:p w:rsidR="00920A8F" w:rsidRPr="0083278E" w:rsidRDefault="00920A8F" w:rsidP="006A1241">
            <w:pPr>
              <w:rPr>
                <w:rFonts w:ascii="Times New Roman" w:hAnsi="Times New Roman" w:cs="Times New Roman"/>
              </w:rPr>
            </w:pPr>
            <w:r w:rsidRPr="00920A8F">
              <w:rPr>
                <w:rFonts w:ascii="Times New Roman" w:hAnsi="Times New Roman" w:cs="Times New Roman"/>
              </w:rPr>
              <w:t>Дебиторская задолженность Прочие расчеты, не относящиеся к сделкам, ИНН: 1215098862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920A8F" w:rsidRPr="00B359BE" w:rsidRDefault="00920A8F" w:rsidP="000E731C">
            <w:pPr>
              <w:jc w:val="right"/>
              <w:rPr>
                <w:rFonts w:ascii="Times New Roman" w:hAnsi="Times New Roman" w:cs="Times New Roman"/>
              </w:rPr>
            </w:pPr>
            <w:r w:rsidRPr="00B359BE">
              <w:rPr>
                <w:rFonts w:ascii="Times New Roman" w:hAnsi="Times New Roman" w:cs="Times New Roman"/>
              </w:rPr>
              <w:t>0,0</w:t>
            </w:r>
            <w:r w:rsidR="000E731C">
              <w:rPr>
                <w:rFonts w:ascii="Times New Roman" w:hAnsi="Times New Roman" w:cs="Times New Roman"/>
              </w:rPr>
              <w:t>2</w:t>
            </w:r>
          </w:p>
        </w:tc>
      </w:tr>
      <w:tr w:rsidR="006A1241" w:rsidRPr="00DC6881" w:rsidTr="00D452C6">
        <w:trPr>
          <w:trHeight w:val="327"/>
        </w:trPr>
        <w:tc>
          <w:tcPr>
            <w:tcW w:w="554" w:type="dxa"/>
            <w:shd w:val="clear" w:color="auto" w:fill="auto"/>
            <w:noWrap/>
            <w:vAlign w:val="bottom"/>
            <w:hideMark/>
          </w:tcPr>
          <w:p w:rsidR="006A1241" w:rsidRPr="006A1241" w:rsidRDefault="006A1241" w:rsidP="006A1241">
            <w:pPr>
              <w:jc w:val="right"/>
              <w:rPr>
                <w:rFonts w:ascii="Times New Roman" w:hAnsi="Times New Roman" w:cs="Times New Roman"/>
              </w:rPr>
            </w:pPr>
            <w:r w:rsidRPr="006A124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01" w:type="dxa"/>
            <w:shd w:val="clear" w:color="auto" w:fill="auto"/>
            <w:vAlign w:val="bottom"/>
            <w:hideMark/>
          </w:tcPr>
          <w:p w:rsidR="006A1241" w:rsidRPr="006A1241" w:rsidRDefault="000E731C" w:rsidP="006A1241">
            <w:pPr>
              <w:rPr>
                <w:rFonts w:ascii="Times New Roman" w:hAnsi="Times New Roman" w:cs="Times New Roman"/>
              </w:rPr>
            </w:pPr>
            <w:r w:rsidRPr="00920A8F">
              <w:rPr>
                <w:rFonts w:ascii="Times New Roman" w:hAnsi="Times New Roman" w:cs="Times New Roman"/>
              </w:rPr>
              <w:t>Дебиторская задолженность Расчеты по авансам выданным, ИНН: 6315376946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6A1241" w:rsidRPr="00B359BE" w:rsidRDefault="0083278E" w:rsidP="00920A8F">
            <w:pPr>
              <w:jc w:val="right"/>
              <w:rPr>
                <w:rFonts w:ascii="Times New Roman" w:hAnsi="Times New Roman" w:cs="Times New Roman"/>
              </w:rPr>
            </w:pPr>
            <w:r w:rsidRPr="00B359BE">
              <w:rPr>
                <w:rFonts w:ascii="Times New Roman" w:hAnsi="Times New Roman" w:cs="Times New Roman"/>
              </w:rPr>
              <w:t>0</w:t>
            </w:r>
            <w:r w:rsidR="006A1241" w:rsidRPr="00B359BE">
              <w:rPr>
                <w:rFonts w:ascii="Times New Roman" w:hAnsi="Times New Roman" w:cs="Times New Roman"/>
              </w:rPr>
              <w:t>,</w:t>
            </w:r>
            <w:r w:rsidR="00920A8F" w:rsidRPr="00B359BE">
              <w:rPr>
                <w:rFonts w:ascii="Times New Roman" w:hAnsi="Times New Roman" w:cs="Times New Roman"/>
              </w:rPr>
              <w:t>0</w:t>
            </w:r>
            <w:r w:rsidRPr="00B359BE">
              <w:rPr>
                <w:rFonts w:ascii="Times New Roman" w:hAnsi="Times New Roman" w:cs="Times New Roman"/>
              </w:rPr>
              <w:t>1</w:t>
            </w:r>
          </w:p>
        </w:tc>
      </w:tr>
      <w:tr w:rsidR="006A1241" w:rsidRPr="00DC6881" w:rsidTr="00D452C6">
        <w:trPr>
          <w:trHeight w:val="349"/>
        </w:trPr>
        <w:tc>
          <w:tcPr>
            <w:tcW w:w="554" w:type="dxa"/>
            <w:shd w:val="clear" w:color="auto" w:fill="auto"/>
            <w:noWrap/>
            <w:vAlign w:val="bottom"/>
          </w:tcPr>
          <w:p w:rsidR="006A1241" w:rsidRPr="006A1241" w:rsidRDefault="006A1241" w:rsidP="006A1241">
            <w:pPr>
              <w:jc w:val="right"/>
              <w:rPr>
                <w:rFonts w:ascii="Times New Roman" w:hAnsi="Times New Roman" w:cs="Times New Roman"/>
              </w:rPr>
            </w:pPr>
            <w:r w:rsidRPr="006A124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101" w:type="dxa"/>
            <w:shd w:val="clear" w:color="auto" w:fill="auto"/>
            <w:vAlign w:val="bottom"/>
          </w:tcPr>
          <w:p w:rsidR="006A1241" w:rsidRPr="006A1241" w:rsidRDefault="000E731C" w:rsidP="006A1241">
            <w:pPr>
              <w:rPr>
                <w:rFonts w:ascii="Times New Roman" w:hAnsi="Times New Roman" w:cs="Times New Roman"/>
              </w:rPr>
            </w:pPr>
            <w:r w:rsidRPr="0083278E">
              <w:rPr>
                <w:rFonts w:ascii="Times New Roman" w:hAnsi="Times New Roman" w:cs="Times New Roman"/>
              </w:rPr>
              <w:t>Остатки на р/с ПАО БАНК "ФК ОТКРЫТИЕ" (денежные средства)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6A1241" w:rsidRPr="00B359BE" w:rsidRDefault="0083278E" w:rsidP="00920A8F">
            <w:pPr>
              <w:jc w:val="right"/>
              <w:rPr>
                <w:rFonts w:ascii="Times New Roman" w:hAnsi="Times New Roman" w:cs="Times New Roman"/>
              </w:rPr>
            </w:pPr>
            <w:r w:rsidRPr="00B359BE">
              <w:rPr>
                <w:rFonts w:ascii="Times New Roman" w:hAnsi="Times New Roman" w:cs="Times New Roman"/>
              </w:rPr>
              <w:t>0</w:t>
            </w:r>
            <w:r w:rsidR="006A1241" w:rsidRPr="00B359BE">
              <w:rPr>
                <w:rFonts w:ascii="Times New Roman" w:hAnsi="Times New Roman" w:cs="Times New Roman"/>
              </w:rPr>
              <w:t>,</w:t>
            </w:r>
            <w:r w:rsidRPr="00B359BE">
              <w:rPr>
                <w:rFonts w:ascii="Times New Roman" w:hAnsi="Times New Roman" w:cs="Times New Roman"/>
              </w:rPr>
              <w:t>0</w:t>
            </w:r>
            <w:r w:rsidR="00920A8F" w:rsidRPr="00B359BE">
              <w:rPr>
                <w:rFonts w:ascii="Times New Roman" w:hAnsi="Times New Roman" w:cs="Times New Roman"/>
              </w:rPr>
              <w:t>1</w:t>
            </w:r>
          </w:p>
        </w:tc>
      </w:tr>
    </w:tbl>
    <w:p w:rsidR="005E1B0D" w:rsidRDefault="005E1B0D" w:rsidP="004B5AD6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</w:p>
    <w:p w:rsidR="00C45E2F" w:rsidRPr="00DC6881" w:rsidRDefault="00C45E2F" w:rsidP="004B5AD6">
      <w:pPr>
        <w:spacing w:after="0"/>
        <w:rPr>
          <w:rFonts w:ascii="Times New Roman" w:hAnsi="Times New Roman" w:cs="Times New Roman"/>
        </w:rPr>
      </w:pPr>
    </w:p>
    <w:p w:rsidR="00A163AF" w:rsidRPr="00DC6881" w:rsidRDefault="005E1B0D" w:rsidP="004B5AD6">
      <w:pPr>
        <w:spacing w:after="0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Раздел 4. Основные инвестиционные риски</w:t>
      </w:r>
    </w:p>
    <w:p w:rsidR="00A163AF" w:rsidRPr="00DC6881" w:rsidRDefault="00A163AF" w:rsidP="004B5AD6">
      <w:pPr>
        <w:spacing w:after="0"/>
        <w:rPr>
          <w:rFonts w:ascii="Times New Roman" w:hAnsi="Times New Roman" w:cs="Times New Roman"/>
        </w:rPr>
      </w:pPr>
    </w:p>
    <w:tbl>
      <w:tblPr>
        <w:tblW w:w="9363" w:type="dxa"/>
        <w:jc w:val="center"/>
        <w:tblLook w:val="04A0" w:firstRow="1" w:lastRow="0" w:firstColumn="1" w:lastColumn="0" w:noHBand="0" w:noVBand="1"/>
      </w:tblPr>
      <w:tblGrid>
        <w:gridCol w:w="3574"/>
        <w:gridCol w:w="2750"/>
        <w:gridCol w:w="3039"/>
      </w:tblGrid>
      <w:tr w:rsidR="00A163AF" w:rsidRPr="00DC6881" w:rsidTr="00A163AF">
        <w:trPr>
          <w:trHeight w:val="913"/>
          <w:jc w:val="center"/>
        </w:trPr>
        <w:tc>
          <w:tcPr>
            <w:tcW w:w="357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6881">
              <w:rPr>
                <w:rFonts w:ascii="Times New Roman" w:hAnsi="Times New Roman" w:cs="Times New Roman"/>
                <w:b/>
              </w:rPr>
              <w:t>Вид риска</w:t>
            </w:r>
          </w:p>
        </w:tc>
        <w:tc>
          <w:tcPr>
            <w:tcW w:w="27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6881">
              <w:rPr>
                <w:rFonts w:ascii="Times New Roman" w:hAnsi="Times New Roman" w:cs="Times New Roman"/>
                <w:b/>
              </w:rPr>
              <w:t>Оценка вероятности реализации риска</w:t>
            </w:r>
          </w:p>
        </w:tc>
        <w:tc>
          <w:tcPr>
            <w:tcW w:w="303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6881">
              <w:rPr>
                <w:rFonts w:ascii="Times New Roman" w:hAnsi="Times New Roman" w:cs="Times New Roman"/>
                <w:b/>
              </w:rPr>
              <w:t>Оценка объема потерь при реализации риска</w:t>
            </w:r>
          </w:p>
        </w:tc>
      </w:tr>
      <w:tr w:rsidR="00A163AF" w:rsidRPr="00DC6881" w:rsidTr="00A163AF">
        <w:trPr>
          <w:trHeight w:val="451"/>
          <w:jc w:val="center"/>
        </w:trPr>
        <w:tc>
          <w:tcPr>
            <w:tcW w:w="35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Кредитный (невыполнение контрагентом платежных обязательств</w:t>
            </w:r>
            <w:r w:rsidR="00C9361F">
              <w:rPr>
                <w:rFonts w:ascii="Times New Roman" w:hAnsi="Times New Roman" w:cs="Times New Roman"/>
              </w:rPr>
              <w:t>,</w:t>
            </w:r>
            <w:r w:rsidRPr="00DC6881">
              <w:rPr>
                <w:rFonts w:ascii="Times New Roman" w:hAnsi="Times New Roman" w:cs="Times New Roman"/>
              </w:rPr>
              <w:t xml:space="preserve"> например</w:t>
            </w:r>
            <w:r w:rsidR="00C9361F">
              <w:rPr>
                <w:rFonts w:ascii="Times New Roman" w:hAnsi="Times New Roman" w:cs="Times New Roman"/>
              </w:rPr>
              <w:t>,</w:t>
            </w:r>
            <w:r w:rsidRPr="00DC6881">
              <w:rPr>
                <w:rFonts w:ascii="Times New Roman" w:hAnsi="Times New Roman" w:cs="Times New Roman"/>
              </w:rPr>
              <w:t xml:space="preserve"> по оплате аренды)</w:t>
            </w:r>
          </w:p>
        </w:tc>
        <w:tc>
          <w:tcPr>
            <w:tcW w:w="27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средняя</w:t>
            </w:r>
          </w:p>
        </w:tc>
        <w:tc>
          <w:tcPr>
            <w:tcW w:w="303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незначительный</w:t>
            </w:r>
          </w:p>
        </w:tc>
      </w:tr>
      <w:tr w:rsidR="00A163AF" w:rsidRPr="00DC6881" w:rsidTr="00A163AF">
        <w:trPr>
          <w:trHeight w:val="451"/>
          <w:jc w:val="center"/>
        </w:trPr>
        <w:tc>
          <w:tcPr>
            <w:tcW w:w="3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Рыночный (например</w:t>
            </w:r>
            <w:r w:rsidR="00C9361F">
              <w:rPr>
                <w:rFonts w:ascii="Times New Roman" w:hAnsi="Times New Roman" w:cs="Times New Roman"/>
              </w:rPr>
              <w:t>,</w:t>
            </w:r>
            <w:r w:rsidRPr="00DC6881">
              <w:rPr>
                <w:rFonts w:ascii="Times New Roman" w:hAnsi="Times New Roman" w:cs="Times New Roman"/>
              </w:rPr>
              <w:t xml:space="preserve"> снижение арендной выручки вследствие понижения рыночных ставок аренды)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22D37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2D37">
              <w:rPr>
                <w:rFonts w:ascii="Times New Roman" w:hAnsi="Times New Roman" w:cs="Times New Roman"/>
              </w:rPr>
              <w:t>низкая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незначительный</w:t>
            </w:r>
          </w:p>
        </w:tc>
      </w:tr>
      <w:tr w:rsidR="00A163AF" w:rsidRPr="00DC6881" w:rsidTr="00A163AF">
        <w:trPr>
          <w:trHeight w:val="461"/>
          <w:jc w:val="center"/>
        </w:trPr>
        <w:tc>
          <w:tcPr>
            <w:tcW w:w="3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Риски утраты физического повреждения объектов недвижимости под воздействием внешних природных и техногенных факторов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низкая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22D37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2D37">
              <w:rPr>
                <w:rFonts w:ascii="Times New Roman" w:hAnsi="Times New Roman" w:cs="Times New Roman"/>
              </w:rPr>
              <w:t>незначительный</w:t>
            </w:r>
          </w:p>
        </w:tc>
      </w:tr>
      <w:tr w:rsidR="00A163AF" w:rsidRPr="00DC6881" w:rsidTr="00A163AF">
        <w:trPr>
          <w:trHeight w:val="461"/>
          <w:jc w:val="center"/>
        </w:trPr>
        <w:tc>
          <w:tcPr>
            <w:tcW w:w="35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Процентный (например</w:t>
            </w:r>
            <w:r w:rsidR="00C9361F">
              <w:rPr>
                <w:rFonts w:ascii="Times New Roman" w:hAnsi="Times New Roman" w:cs="Times New Roman"/>
              </w:rPr>
              <w:t>,</w:t>
            </w:r>
            <w:r w:rsidRPr="00DC6881">
              <w:rPr>
                <w:rFonts w:ascii="Times New Roman" w:hAnsi="Times New Roman" w:cs="Times New Roman"/>
              </w:rPr>
              <w:t xml:space="preserve"> риск снижения процентных ставок по депозитам)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низкая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незначительный</w:t>
            </w:r>
          </w:p>
        </w:tc>
      </w:tr>
    </w:tbl>
    <w:p w:rsidR="00A163AF" w:rsidRDefault="00A163AF" w:rsidP="004B5AD6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</w:p>
    <w:tbl>
      <w:tblPr>
        <w:tblpPr w:leftFromText="180" w:rightFromText="180" w:vertAnchor="page" w:horzAnchor="page" w:tblpX="6209" w:tblpY="7822"/>
        <w:tblW w:w="5291" w:type="dxa"/>
        <w:tblLook w:val="04A0" w:firstRow="1" w:lastRow="0" w:firstColumn="1" w:lastColumn="0" w:noHBand="0" w:noVBand="1"/>
      </w:tblPr>
      <w:tblGrid>
        <w:gridCol w:w="1878"/>
        <w:gridCol w:w="1741"/>
        <w:gridCol w:w="1672"/>
      </w:tblGrid>
      <w:tr w:rsidR="009324F6" w:rsidRPr="00DC6881" w:rsidTr="000E731C">
        <w:trPr>
          <w:trHeight w:val="321"/>
        </w:trPr>
        <w:tc>
          <w:tcPr>
            <w:tcW w:w="3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4F6" w:rsidRPr="00DC6881" w:rsidRDefault="009324F6" w:rsidP="000E73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Доходность за период</w:t>
            </w:r>
            <w:r>
              <w:rPr>
                <w:rFonts w:ascii="Times New Roman" w:hAnsi="Times New Roman" w:cs="Times New Roman"/>
              </w:rPr>
              <w:t>.</w:t>
            </w:r>
            <w:r w:rsidRPr="00DC6881">
              <w:rPr>
                <w:rFonts w:ascii="Times New Roman" w:hAnsi="Times New Roman" w:cs="Times New Roman"/>
              </w:rPr>
              <w:t xml:space="preserve"> %</w:t>
            </w:r>
          </w:p>
          <w:p w:rsidR="009324F6" w:rsidRPr="00DC6881" w:rsidRDefault="009324F6" w:rsidP="000E73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24F6" w:rsidRPr="00DC6881" w:rsidRDefault="009324F6" w:rsidP="000E73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Отклонение доходности от Инфляции</w:t>
            </w:r>
          </w:p>
          <w:p w:rsidR="009324F6" w:rsidRPr="00DC6881" w:rsidRDefault="009324F6" w:rsidP="000E73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24F6" w:rsidRPr="00DC6881" w:rsidTr="000E731C">
        <w:trPr>
          <w:trHeight w:val="627"/>
        </w:trPr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4F6" w:rsidRPr="00DC6881" w:rsidRDefault="009324F6" w:rsidP="000E73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Период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4F6" w:rsidRPr="00DC6881" w:rsidRDefault="009324F6" w:rsidP="000E73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Доходность %</w:t>
            </w:r>
          </w:p>
        </w:tc>
        <w:tc>
          <w:tcPr>
            <w:tcW w:w="1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F6" w:rsidRPr="00DC6881" w:rsidRDefault="009324F6" w:rsidP="000E73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5C60" w:rsidRPr="00DC6881" w:rsidTr="000E731C">
        <w:trPr>
          <w:trHeight w:val="321"/>
        </w:trPr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C60" w:rsidRPr="004E1105" w:rsidRDefault="001A5C60" w:rsidP="001A5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 w:colFirst="2" w:colLast="2"/>
            <w:r w:rsidRPr="004E1105">
              <w:rPr>
                <w:rFonts w:ascii="Times New Roman" w:hAnsi="Times New Roman" w:cs="Times New Roman"/>
                <w:sz w:val="20"/>
                <w:szCs w:val="20"/>
              </w:rPr>
              <w:t>1 месяц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C60" w:rsidRPr="00C83BC2" w:rsidRDefault="001A5C60" w:rsidP="001A5C60">
            <w:pPr>
              <w:jc w:val="center"/>
            </w:pPr>
            <w:r w:rsidRPr="00C83BC2">
              <w:t>0,54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C60" w:rsidRPr="00D21DEE" w:rsidRDefault="001A5C60" w:rsidP="001A5C60">
            <w:pPr>
              <w:jc w:val="center"/>
            </w:pPr>
            <w:r w:rsidRPr="00D21DEE">
              <w:t>0,26</w:t>
            </w:r>
          </w:p>
        </w:tc>
      </w:tr>
      <w:tr w:rsidR="001A5C60" w:rsidRPr="00DC6881" w:rsidTr="000E731C">
        <w:trPr>
          <w:trHeight w:val="321"/>
        </w:trPr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C60" w:rsidRPr="004E1105" w:rsidRDefault="001A5C60" w:rsidP="001A5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105">
              <w:rPr>
                <w:rFonts w:ascii="Times New Roman" w:hAnsi="Times New Roman" w:cs="Times New Roman"/>
                <w:sz w:val="20"/>
                <w:szCs w:val="20"/>
              </w:rPr>
              <w:t>3 месяца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C60" w:rsidRPr="00C83BC2" w:rsidRDefault="001A5C60" w:rsidP="001A5C60">
            <w:pPr>
              <w:jc w:val="center"/>
            </w:pPr>
            <w:r w:rsidRPr="00C83BC2">
              <w:t>119,86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C60" w:rsidRPr="00D21DEE" w:rsidRDefault="001A5C60" w:rsidP="001A5C60">
            <w:pPr>
              <w:jc w:val="center"/>
            </w:pPr>
            <w:r w:rsidRPr="00D21DEE">
              <w:t>118,57</w:t>
            </w:r>
          </w:p>
        </w:tc>
      </w:tr>
      <w:tr w:rsidR="001A5C60" w:rsidRPr="00DC6881" w:rsidTr="000E731C">
        <w:trPr>
          <w:trHeight w:val="321"/>
        </w:trPr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C60" w:rsidRPr="004E1105" w:rsidRDefault="001A5C60" w:rsidP="001A5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105">
              <w:rPr>
                <w:rFonts w:ascii="Times New Roman" w:hAnsi="Times New Roman" w:cs="Times New Roman"/>
                <w:sz w:val="20"/>
                <w:szCs w:val="20"/>
              </w:rPr>
              <w:t>6 месяцев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C60" w:rsidRPr="00C83BC2" w:rsidRDefault="001A5C60" w:rsidP="001A5C60">
            <w:pPr>
              <w:jc w:val="center"/>
            </w:pPr>
            <w:r w:rsidRPr="00C83BC2">
              <w:t>46,75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C60" w:rsidRPr="00D21DEE" w:rsidRDefault="001A5C60" w:rsidP="001A5C60">
            <w:pPr>
              <w:jc w:val="center"/>
            </w:pPr>
            <w:r w:rsidRPr="00D21DEE">
              <w:t>44,39</w:t>
            </w:r>
          </w:p>
        </w:tc>
      </w:tr>
      <w:tr w:rsidR="001A5C60" w:rsidRPr="00DC6881" w:rsidTr="000E731C">
        <w:trPr>
          <w:trHeight w:val="321"/>
        </w:trPr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C60" w:rsidRPr="004E1105" w:rsidRDefault="001A5C60" w:rsidP="001A5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105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C60" w:rsidRPr="00C83BC2" w:rsidRDefault="001A5C60" w:rsidP="001A5C60">
            <w:pPr>
              <w:jc w:val="center"/>
            </w:pPr>
            <w:r w:rsidRPr="00C83BC2">
              <w:t>25,56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C60" w:rsidRPr="00D21DEE" w:rsidRDefault="001A5C60" w:rsidP="001A5C60">
            <w:pPr>
              <w:jc w:val="center"/>
            </w:pPr>
            <w:r w:rsidRPr="00D21DEE">
              <w:t>20,43</w:t>
            </w:r>
          </w:p>
        </w:tc>
      </w:tr>
      <w:tr w:rsidR="001A5C60" w:rsidRPr="00DC6881" w:rsidTr="000E731C">
        <w:trPr>
          <w:trHeight w:val="321"/>
        </w:trPr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C60" w:rsidRPr="004E1105" w:rsidRDefault="001A5C60" w:rsidP="001A5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105"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C60" w:rsidRPr="00C83BC2" w:rsidRDefault="001A5C60" w:rsidP="001A5C60">
            <w:pPr>
              <w:jc w:val="center"/>
            </w:pPr>
            <w:r w:rsidRPr="00C83BC2">
              <w:t>-8,02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C60" w:rsidRPr="00D21DEE" w:rsidRDefault="001A5C60" w:rsidP="001A5C60">
            <w:pPr>
              <w:jc w:val="center"/>
            </w:pPr>
            <w:r w:rsidRPr="00D21DEE">
              <w:t>-36,23</w:t>
            </w:r>
          </w:p>
        </w:tc>
      </w:tr>
      <w:tr w:rsidR="001A5C60" w:rsidRPr="00DC6881" w:rsidTr="000E731C">
        <w:trPr>
          <w:trHeight w:val="379"/>
        </w:trPr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C60" w:rsidRPr="004E1105" w:rsidRDefault="001A5C60" w:rsidP="001A5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105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C60" w:rsidRDefault="001A5C60" w:rsidP="001A5C60">
            <w:pPr>
              <w:jc w:val="center"/>
            </w:pPr>
            <w:r w:rsidRPr="00C83BC2">
              <w:t>-65,94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C60" w:rsidRDefault="001A5C60" w:rsidP="001A5C60">
            <w:pPr>
              <w:jc w:val="center"/>
            </w:pPr>
            <w:r w:rsidRPr="00D21DEE">
              <w:t>-104,47</w:t>
            </w:r>
          </w:p>
        </w:tc>
      </w:tr>
    </w:tbl>
    <w:bookmarkEnd w:id="0"/>
    <w:p w:rsidR="00EE1DF8" w:rsidRPr="00DC6881" w:rsidRDefault="004E1105" w:rsidP="00C45E2F">
      <w:pPr>
        <w:spacing w:before="120" w:after="0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 xml:space="preserve"> </w:t>
      </w:r>
      <w:r w:rsidR="005D6F19" w:rsidRPr="00DC6881">
        <w:rPr>
          <w:rFonts w:ascii="Times New Roman" w:hAnsi="Times New Roman" w:cs="Times New Roman"/>
        </w:rPr>
        <w:t>Раздел 5. Основные результаты инвестирования</w:t>
      </w:r>
    </w:p>
    <w:p w:rsidR="000F14CB" w:rsidRPr="00DC6881" w:rsidRDefault="000F14CB" w:rsidP="004B5AD6">
      <w:pPr>
        <w:spacing w:after="0"/>
        <w:rPr>
          <w:rFonts w:ascii="Times New Roman" w:hAnsi="Times New Roman" w:cs="Times New Roman"/>
        </w:rPr>
      </w:pPr>
    </w:p>
    <w:p w:rsidR="00DF650D" w:rsidRPr="00DC6881" w:rsidRDefault="00F96203" w:rsidP="004B5AD6">
      <w:pPr>
        <w:spacing w:after="0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583E51A3" wp14:editId="6C9ED211">
            <wp:extent cx="2714625" cy="1981200"/>
            <wp:effectExtent l="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 w:rsidR="00DF650D" w:rsidRPr="00DC6881">
        <w:rPr>
          <w:rFonts w:ascii="Times New Roman" w:hAnsi="Times New Roman" w:cs="Times New Roman"/>
        </w:rPr>
        <w:t xml:space="preserve">    </w:t>
      </w:r>
    </w:p>
    <w:p w:rsidR="000F14CB" w:rsidRPr="00DC6881" w:rsidRDefault="000F14CB" w:rsidP="004B5AD6">
      <w:pPr>
        <w:spacing w:after="0"/>
        <w:rPr>
          <w:rFonts w:ascii="Times New Roman" w:hAnsi="Times New Roman" w:cs="Times New Roman"/>
        </w:rPr>
      </w:pPr>
    </w:p>
    <w:p w:rsidR="00206B90" w:rsidRPr="00B359BE" w:rsidRDefault="00206B90" w:rsidP="000E731C">
      <w:pPr>
        <w:pStyle w:val="a5"/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 xml:space="preserve">Стоимость чистых активов паевого инвестиционного фонда </w:t>
      </w:r>
      <w:r w:rsidR="000E731C" w:rsidRPr="000E731C">
        <w:rPr>
          <w:rFonts w:ascii="Times New Roman" w:hAnsi="Times New Roman" w:cs="Times New Roman"/>
        </w:rPr>
        <w:t>63 053 348,17</w:t>
      </w:r>
      <w:r w:rsidR="000E731C">
        <w:rPr>
          <w:rFonts w:ascii="Times New Roman" w:hAnsi="Times New Roman" w:cs="Times New Roman"/>
        </w:rPr>
        <w:t xml:space="preserve"> </w:t>
      </w:r>
      <w:r w:rsidRPr="00B359BE">
        <w:rPr>
          <w:rFonts w:ascii="Times New Roman" w:hAnsi="Times New Roman" w:cs="Times New Roman"/>
        </w:rPr>
        <w:t>руб.</w:t>
      </w:r>
    </w:p>
    <w:p w:rsidR="00F03B7C" w:rsidRPr="00DC6881" w:rsidRDefault="00B231C8" w:rsidP="000E731C">
      <w:pPr>
        <w:pStyle w:val="a5"/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B359BE">
        <w:rPr>
          <w:rFonts w:ascii="Times New Roman" w:hAnsi="Times New Roman" w:cs="Times New Roman"/>
        </w:rPr>
        <w:t xml:space="preserve">Расчетная </w:t>
      </w:r>
      <w:r w:rsidR="00E37012" w:rsidRPr="00B359BE">
        <w:rPr>
          <w:rFonts w:ascii="Times New Roman" w:hAnsi="Times New Roman" w:cs="Times New Roman"/>
        </w:rPr>
        <w:t>ст</w:t>
      </w:r>
      <w:r w:rsidR="002943C9" w:rsidRPr="00B359BE">
        <w:rPr>
          <w:rFonts w:ascii="Times New Roman" w:hAnsi="Times New Roman" w:cs="Times New Roman"/>
        </w:rPr>
        <w:t>ои</w:t>
      </w:r>
      <w:r w:rsidR="00857E46" w:rsidRPr="00B359BE">
        <w:rPr>
          <w:rFonts w:ascii="Times New Roman" w:hAnsi="Times New Roman" w:cs="Times New Roman"/>
        </w:rPr>
        <w:t xml:space="preserve">мость инвестиционного пая </w:t>
      </w:r>
      <w:r w:rsidR="000E731C" w:rsidRPr="000E731C">
        <w:rPr>
          <w:rFonts w:ascii="Times New Roman" w:hAnsi="Times New Roman" w:cs="Times New Roman"/>
        </w:rPr>
        <w:t>11 840,39</w:t>
      </w:r>
      <w:r w:rsidRPr="00B359BE">
        <w:rPr>
          <w:rFonts w:ascii="Times New Roman" w:hAnsi="Times New Roman" w:cs="Times New Roman"/>
        </w:rPr>
        <w:t>руб</w:t>
      </w:r>
      <w:r w:rsidRPr="00DC6881">
        <w:rPr>
          <w:rFonts w:ascii="Times New Roman" w:hAnsi="Times New Roman" w:cs="Times New Roman"/>
        </w:rPr>
        <w:t>.</w:t>
      </w:r>
    </w:p>
    <w:p w:rsidR="00F03B7C" w:rsidRDefault="00F03B7C" w:rsidP="001F7ADA">
      <w:pPr>
        <w:pStyle w:val="a5"/>
        <w:numPr>
          <w:ilvl w:val="0"/>
          <w:numId w:val="3"/>
        </w:numPr>
        <w:pBdr>
          <w:bottom w:val="single" w:sz="12" w:space="1" w:color="auto"/>
        </w:pBd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Доход по инвестиционным паям</w:t>
      </w:r>
      <w:r w:rsidR="008876AF" w:rsidRPr="00DC6881">
        <w:rPr>
          <w:rFonts w:ascii="Times New Roman" w:hAnsi="Times New Roman" w:cs="Times New Roman"/>
        </w:rPr>
        <w:t xml:space="preserve"> </w:t>
      </w:r>
      <w:r w:rsidRPr="00DC6881">
        <w:rPr>
          <w:rFonts w:ascii="Times New Roman" w:hAnsi="Times New Roman" w:cs="Times New Roman"/>
        </w:rPr>
        <w:t>выплачивается владельцам инвестиционных паев исходя из количества принадлежащих им инвестиционных паев на дату составления списка лиц</w:t>
      </w:r>
      <w:r w:rsidR="00A4283B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имеющих право на получение дохода по инвестиционному паю. Указанный списо</w:t>
      </w:r>
      <w:r w:rsidR="00CC72CF">
        <w:rPr>
          <w:rFonts w:ascii="Times New Roman" w:hAnsi="Times New Roman" w:cs="Times New Roman"/>
        </w:rPr>
        <w:t>к лиц составляется ежемесячно</w:t>
      </w:r>
      <w:r w:rsidRPr="00DC6881">
        <w:rPr>
          <w:rFonts w:ascii="Times New Roman" w:hAnsi="Times New Roman" w:cs="Times New Roman"/>
        </w:rPr>
        <w:t xml:space="preserve"> на основании данных реестра владельцев инвестиционных паев фонда по состоянию на последний рабочий де</w:t>
      </w:r>
      <w:r w:rsidR="00CC72CF">
        <w:rPr>
          <w:rFonts w:ascii="Times New Roman" w:hAnsi="Times New Roman" w:cs="Times New Roman"/>
        </w:rPr>
        <w:t>нь каждого календарного месяца</w:t>
      </w:r>
      <w:r w:rsidRPr="00DC6881">
        <w:rPr>
          <w:rFonts w:ascii="Times New Roman" w:hAnsi="Times New Roman" w:cs="Times New Roman"/>
        </w:rPr>
        <w:t xml:space="preserve"> (далее - отчетная дата). Под отчетным периодо</w:t>
      </w:r>
      <w:r w:rsidR="00CC72CF">
        <w:rPr>
          <w:rFonts w:ascii="Times New Roman" w:hAnsi="Times New Roman" w:cs="Times New Roman"/>
        </w:rPr>
        <w:t>м понимается календарный месяц</w:t>
      </w:r>
      <w:r w:rsidRPr="00DC6881">
        <w:rPr>
          <w:rFonts w:ascii="Times New Roman" w:hAnsi="Times New Roman" w:cs="Times New Roman"/>
        </w:rPr>
        <w:t>.</w:t>
      </w:r>
      <w:r w:rsidR="008876AF" w:rsidRPr="00DC6881">
        <w:rPr>
          <w:rFonts w:ascii="Times New Roman" w:hAnsi="Times New Roman" w:cs="Times New Roman"/>
        </w:rPr>
        <w:t xml:space="preserve"> </w:t>
      </w:r>
      <w:r w:rsidRPr="00DC6881">
        <w:rPr>
          <w:rFonts w:ascii="Times New Roman" w:hAnsi="Times New Roman" w:cs="Times New Roman"/>
        </w:rPr>
        <w:t>Доход по инвестиционным</w:t>
      </w:r>
      <w:r w:rsidR="00CC72CF">
        <w:rPr>
          <w:rFonts w:ascii="Times New Roman" w:hAnsi="Times New Roman" w:cs="Times New Roman"/>
        </w:rPr>
        <w:t xml:space="preserve"> паям выплачивается не позднее 20 (Двадцати) рабочих</w:t>
      </w:r>
      <w:r w:rsidRPr="00DC6881">
        <w:rPr>
          <w:rFonts w:ascii="Times New Roman" w:hAnsi="Times New Roman" w:cs="Times New Roman"/>
        </w:rPr>
        <w:t xml:space="preserve"> дней</w:t>
      </w:r>
      <w:r w:rsidR="00A4283B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следующих за датой составления списка лиц</w:t>
      </w:r>
      <w:r w:rsidR="00753F8D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имеющих право на получение дохода по инвестиционным паям. Промежуточные выплаты инвестиционного дохода в течение отчетного периода не производятся.</w:t>
      </w:r>
      <w:r w:rsidR="008876AF" w:rsidRPr="00DC6881">
        <w:rPr>
          <w:rFonts w:ascii="Times New Roman" w:hAnsi="Times New Roman" w:cs="Times New Roman"/>
        </w:rPr>
        <w:t xml:space="preserve"> </w:t>
      </w:r>
      <w:r w:rsidRPr="00DC6881">
        <w:rPr>
          <w:rFonts w:ascii="Times New Roman" w:hAnsi="Times New Roman" w:cs="Times New Roman"/>
        </w:rPr>
        <w:t>Размер дохода по инвестиционным паям принимается равным сумме текущего остатка минус неснижаемый остаток в размере 1 000 000 (Один миллион) рублей Российской Федерации от суммы текущего остатка по расчетному счету Фонда № 40701810701700000039</w:t>
      </w:r>
      <w:r w:rsidR="00A4283B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открытому в валюте Российской Федерации в ПАО Банк «ФК Открытие» (ОГРН 1027739019208)</w:t>
      </w:r>
      <w:r w:rsidR="00A4283B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рассчитанной на дату составления списка лиц</w:t>
      </w:r>
      <w:r w:rsidR="00A4283B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имеющих право на получение </w:t>
      </w:r>
      <w:r w:rsidRPr="00DC6881">
        <w:rPr>
          <w:rFonts w:ascii="Times New Roman" w:hAnsi="Times New Roman" w:cs="Times New Roman"/>
        </w:rPr>
        <w:lastRenderedPageBreak/>
        <w:t>дохода по инвестиционным паям. В случае</w:t>
      </w:r>
      <w:r w:rsidR="00C776F7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если результат вычислений по приведенной выше формуле принимает нулевое или отрицательное значение</w:t>
      </w:r>
      <w:r w:rsidR="00753F8D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то доход по инвестиционному паю фонда на соответствующую отчетную дату считается равным нулю и не подлежит выплате владельцам инвестиционных паев фонда.</w:t>
      </w:r>
      <w:r w:rsidR="008876AF" w:rsidRPr="00DC6881">
        <w:rPr>
          <w:rFonts w:ascii="Times New Roman" w:hAnsi="Times New Roman" w:cs="Times New Roman"/>
        </w:rPr>
        <w:t xml:space="preserve"> </w:t>
      </w:r>
      <w:r w:rsidRPr="00DC6881">
        <w:rPr>
          <w:rFonts w:ascii="Times New Roman" w:hAnsi="Times New Roman" w:cs="Times New Roman"/>
        </w:rPr>
        <w:t>Доход по одному инвестиционному паю равен доходу по инвестиционным паям</w:t>
      </w:r>
      <w:r w:rsidR="00C776F7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деленному на количество инвестиционных паев. Выплата дохода по инвестиционному паю осуществляется путем его перечисления на банковский счет</w:t>
      </w:r>
      <w:r w:rsidR="00C776F7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реквизиты которого указаны в реестре владельцев инвестиционных паев. В случае если сведения о реквизитах банковского счета для перечисления дохода не указаны или указаны неверные реквизиты банковского счета</w:t>
      </w:r>
      <w:r w:rsidR="00753F8D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выплата дохода по инвестиционному паю осуществляется не позднее 5 (Пяти) рабочих дней с даты получения управляющей компанией необходимых сведений о реквизитах банковского счета для перечисления дохода.</w:t>
      </w:r>
    </w:p>
    <w:p w:rsidR="001F7ADA" w:rsidRPr="001F7ADA" w:rsidRDefault="001F7ADA" w:rsidP="001F7ADA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</w:rPr>
      </w:pPr>
    </w:p>
    <w:p w:rsidR="00120040" w:rsidRPr="00DC6881" w:rsidRDefault="00120040" w:rsidP="001F7ADA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Раздел 6. Комиссии</w:t>
      </w:r>
    </w:p>
    <w:p w:rsidR="00120040" w:rsidRPr="00DC6881" w:rsidRDefault="00120040" w:rsidP="00120040">
      <w:pPr>
        <w:spacing w:after="0"/>
        <w:rPr>
          <w:rFonts w:ascii="Times New Roman" w:hAnsi="Times New Roman" w:cs="Times New Roman"/>
        </w:rPr>
      </w:pPr>
    </w:p>
    <w:p w:rsidR="0096067C" w:rsidRPr="0096067C" w:rsidRDefault="003531F8" w:rsidP="00A22D37">
      <w:pPr>
        <w:pStyle w:val="a5"/>
        <w:numPr>
          <w:ilvl w:val="0"/>
          <w:numId w:val="9"/>
        </w:numPr>
        <w:pBdr>
          <w:bottom w:val="single" w:sz="12" w:space="1" w:color="auto"/>
        </w:pBdr>
        <w:spacing w:after="0"/>
        <w:ind w:left="426" w:hanging="426"/>
        <w:jc w:val="both"/>
      </w:pPr>
      <w:r w:rsidRPr="00DC6881">
        <w:rPr>
          <w:rFonts w:ascii="Times New Roman" w:hAnsi="Times New Roman" w:cs="Times New Roman"/>
        </w:rPr>
        <w:t>Сумма вознаграждений управляющей компании</w:t>
      </w:r>
      <w:r w:rsidR="00753F8D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специализированного депозитария</w:t>
      </w:r>
      <w:r w:rsidR="00753F8D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регистратора</w:t>
      </w:r>
      <w:r w:rsidR="00753F8D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аудиторской организации и оценщиков</w:t>
      </w:r>
      <w:r w:rsidR="00753F8D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выплачиваемая за счет имущества</w:t>
      </w:r>
      <w:r w:rsidR="00753F8D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составляющего фонд</w:t>
      </w:r>
      <w:r w:rsidR="00753F8D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не должна превышать 10 (Десять) процентов среднегодовой стоимости чистых активов фонда.</w:t>
      </w:r>
    </w:p>
    <w:p w:rsidR="0096067C" w:rsidRPr="0096067C" w:rsidRDefault="0096067C" w:rsidP="00A22D37">
      <w:pPr>
        <w:pStyle w:val="a5"/>
        <w:numPr>
          <w:ilvl w:val="0"/>
          <w:numId w:val="9"/>
        </w:numPr>
        <w:pBdr>
          <w:bottom w:val="single" w:sz="12" w:space="1" w:color="auto"/>
        </w:pBdr>
        <w:spacing w:after="0"/>
        <w:ind w:left="426" w:hanging="426"/>
        <w:jc w:val="both"/>
      </w:pPr>
      <w:r w:rsidRPr="0096067C">
        <w:rPr>
          <w:rFonts w:ascii="Times New Roman" w:hAnsi="Times New Roman" w:cs="Times New Roman"/>
        </w:rPr>
        <w:t xml:space="preserve">Максимальный размер расходов, подлежащих оплате за счет имущества, составляющего фонд, за исключением налогов и иных обязательных платежей, связанных с доверительным управлением фондом, составляет 90 (Девяносто) процентов (с учетом налога на добавленную стоимость) среднегодовой стоимости чистых активов фонда, определяемой в порядке, установленном нормативными актами в сфере финансовых рынков. </w:t>
      </w:r>
    </w:p>
    <w:p w:rsidR="0096067C" w:rsidRPr="006F4A29" w:rsidRDefault="0096067C" w:rsidP="00A22D37">
      <w:pPr>
        <w:pStyle w:val="a5"/>
        <w:numPr>
          <w:ilvl w:val="0"/>
          <w:numId w:val="9"/>
        </w:numPr>
        <w:pBdr>
          <w:bottom w:val="single" w:sz="12" w:space="1" w:color="auto"/>
        </w:pBdr>
        <w:spacing w:after="0"/>
        <w:ind w:left="426" w:hanging="426"/>
        <w:jc w:val="both"/>
      </w:pPr>
      <w:r w:rsidRPr="00987EFD">
        <w:rPr>
          <w:rFonts w:ascii="Times New Roman" w:hAnsi="Times New Roman" w:cs="Times New Roman"/>
        </w:rPr>
        <w:t>Подробные условия указаны в правилах доверительного управления паевым инвестиционным фондом.</w:t>
      </w:r>
    </w:p>
    <w:p w:rsidR="003531F8" w:rsidRPr="0096067C" w:rsidRDefault="003531F8" w:rsidP="0096067C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</w:rPr>
      </w:pPr>
    </w:p>
    <w:p w:rsidR="001F7ADA" w:rsidRPr="001F7ADA" w:rsidRDefault="001F7ADA" w:rsidP="001F7ADA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</w:p>
    <w:p w:rsidR="00B40149" w:rsidRPr="00DC6881" w:rsidRDefault="00B40149" w:rsidP="001F7ADA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 xml:space="preserve">Раздел 7. </w:t>
      </w:r>
      <w:r w:rsidR="00734072" w:rsidRPr="00DC6881">
        <w:rPr>
          <w:rFonts w:ascii="Times New Roman" w:hAnsi="Times New Roman" w:cs="Times New Roman"/>
        </w:rPr>
        <w:t>Иная информация</w:t>
      </w:r>
    </w:p>
    <w:p w:rsidR="00734072" w:rsidRPr="00DC6881" w:rsidRDefault="00734072" w:rsidP="00B40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34072" w:rsidRPr="00DC6881" w:rsidRDefault="00A6551F" w:rsidP="00BA51E5">
      <w:pPr>
        <w:pStyle w:val="a5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Минимальная с</w:t>
      </w:r>
      <w:r w:rsidR="00734072" w:rsidRPr="00DC6881">
        <w:rPr>
          <w:rFonts w:ascii="Times New Roman" w:hAnsi="Times New Roman" w:cs="Times New Roman"/>
        </w:rPr>
        <w:t>умма денежных средств (стоимость имущества)</w:t>
      </w:r>
      <w:r w:rsidR="00753F8D">
        <w:rPr>
          <w:rFonts w:ascii="Times New Roman" w:hAnsi="Times New Roman" w:cs="Times New Roman"/>
        </w:rPr>
        <w:t>,</w:t>
      </w:r>
      <w:r w:rsidR="00734072" w:rsidRPr="00DC6881">
        <w:rPr>
          <w:rFonts w:ascii="Times New Roman" w:hAnsi="Times New Roman" w:cs="Times New Roman"/>
        </w:rPr>
        <w:t xml:space="preserve"> на которую выдается инвестиционный пай при формировании фонда</w:t>
      </w:r>
      <w:r w:rsidR="00266B1B">
        <w:rPr>
          <w:rFonts w:ascii="Times New Roman" w:hAnsi="Times New Roman" w:cs="Times New Roman"/>
        </w:rPr>
        <w:t>,</w:t>
      </w:r>
      <w:r w:rsidR="00734072" w:rsidRPr="00DC6881">
        <w:rPr>
          <w:rFonts w:ascii="Times New Roman" w:hAnsi="Times New Roman" w:cs="Times New Roman"/>
        </w:rPr>
        <w:t xml:space="preserve"> составляет 100 000 (Сто тысяч) рублей. Выдача инвестиционных паев при формировании фонда осуществляется при условии передачи в их оплату денежных средств в размере и (или) иного имущества стоимостью не менее 70 000 000 (Семьдесят миллионов) рублей. Выдача дополнительных инвестиционных паев осуществляется при условии передачи в их оплату денежных средств в размере и (или) иного имущества стоимостью не менее 10 000 000 (Десять миллионов) рублей. Условие не распространяется на лиц</w:t>
      </w:r>
      <w:r w:rsidR="00266B1B">
        <w:rPr>
          <w:rFonts w:ascii="Times New Roman" w:hAnsi="Times New Roman" w:cs="Times New Roman"/>
        </w:rPr>
        <w:t>,</w:t>
      </w:r>
      <w:r w:rsidR="00734072" w:rsidRPr="00DC6881">
        <w:rPr>
          <w:rFonts w:ascii="Times New Roman" w:hAnsi="Times New Roman" w:cs="Times New Roman"/>
        </w:rPr>
        <w:t xml:space="preserve"> являющихся владельцами инвестиционных паев на дату принятия управляющей компанией решения о выдаче дополнительных инвестиционных паев. Подробные условия указаны в правилах доверительного управления паевым инвестиционным фондом.</w:t>
      </w:r>
    </w:p>
    <w:p w:rsidR="00F65E19" w:rsidRPr="00DC6881" w:rsidRDefault="00F65E19" w:rsidP="00BA51E5">
      <w:pPr>
        <w:pStyle w:val="a5"/>
        <w:numPr>
          <w:ilvl w:val="0"/>
          <w:numId w:val="7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Правила доверительного управления паевым инвестиционным фондом зарегистрированы 26.05.2016 N 3156.</w:t>
      </w:r>
    </w:p>
    <w:p w:rsidR="00F65E19" w:rsidRPr="00DC6881" w:rsidRDefault="00F65E19" w:rsidP="00BA51E5">
      <w:pPr>
        <w:pStyle w:val="a5"/>
        <w:numPr>
          <w:ilvl w:val="0"/>
          <w:numId w:val="7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Паевой инвестиционный фонд сформирован 25.08.2016 года.</w:t>
      </w:r>
    </w:p>
    <w:p w:rsidR="009B4EE8" w:rsidRPr="00DC6881" w:rsidRDefault="009B4EE8" w:rsidP="00BA51E5">
      <w:pPr>
        <w:pStyle w:val="a5"/>
        <w:numPr>
          <w:ilvl w:val="0"/>
          <w:numId w:val="7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Информацию</w:t>
      </w:r>
      <w:r w:rsidR="00266B1B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подлежащую раскрытию и предоставлению</w:t>
      </w:r>
      <w:r w:rsidR="00266B1B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можно получить на сайте www.am-navigator.ru</w:t>
      </w:r>
      <w:r w:rsidR="00870A1D">
        <w:rPr>
          <w:rFonts w:ascii="Times New Roman" w:hAnsi="Times New Roman" w:cs="Times New Roman"/>
        </w:rPr>
        <w:t>.</w:t>
      </w:r>
      <w:r w:rsidRPr="00DC6881">
        <w:rPr>
          <w:rFonts w:ascii="Times New Roman" w:hAnsi="Times New Roman" w:cs="Times New Roman"/>
        </w:rPr>
        <w:t xml:space="preserve"> а также по адресу управляющей компании.</w:t>
      </w:r>
    </w:p>
    <w:p w:rsidR="009B4EE8" w:rsidRPr="00DC6881" w:rsidRDefault="009B4EE8" w:rsidP="00BA51E5">
      <w:pPr>
        <w:pStyle w:val="a5"/>
        <w:numPr>
          <w:ilvl w:val="0"/>
          <w:numId w:val="7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Управляющая компания ООО «УК «Навигатор»</w:t>
      </w:r>
      <w:r w:rsidR="00BA51E5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лицензия </w:t>
      </w:r>
      <w:r w:rsidR="00BA51E5" w:rsidRPr="00BA51E5">
        <w:rPr>
          <w:rFonts w:ascii="Times New Roman" w:hAnsi="Times New Roman" w:cs="Times New Roman"/>
        </w:rPr>
        <w:t>№21-000-1-00102 от 24.12.2002</w:t>
      </w:r>
      <w:r w:rsidR="00BA51E5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сайт www.am-navigator.ru</w:t>
      </w:r>
      <w:r w:rsidR="00266B1B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телефон 8 (495) 213 18 37</w:t>
      </w:r>
      <w:r w:rsidR="00266B1B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адрес 129110</w:t>
      </w:r>
      <w:r w:rsidR="00266B1B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г. Москва</w:t>
      </w:r>
      <w:r w:rsidR="00870A1D">
        <w:rPr>
          <w:rFonts w:ascii="Times New Roman" w:hAnsi="Times New Roman" w:cs="Times New Roman"/>
        </w:rPr>
        <w:t>.</w:t>
      </w:r>
      <w:r w:rsidRPr="00DC6881">
        <w:rPr>
          <w:rFonts w:ascii="Times New Roman" w:hAnsi="Times New Roman" w:cs="Times New Roman"/>
        </w:rPr>
        <w:t xml:space="preserve"> ул. Гиляровского</w:t>
      </w:r>
      <w:r w:rsidR="00870A1D">
        <w:rPr>
          <w:rFonts w:ascii="Times New Roman" w:hAnsi="Times New Roman" w:cs="Times New Roman"/>
        </w:rPr>
        <w:t>.</w:t>
      </w:r>
      <w:r w:rsidRPr="00DC6881">
        <w:rPr>
          <w:rFonts w:ascii="Times New Roman" w:hAnsi="Times New Roman" w:cs="Times New Roman"/>
        </w:rPr>
        <w:t xml:space="preserve"> д. 39</w:t>
      </w:r>
      <w:r w:rsidR="0083164C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стр. 3</w:t>
      </w:r>
      <w:r w:rsidR="0083164C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</w:t>
      </w:r>
      <w:proofErr w:type="spellStart"/>
      <w:r w:rsidRPr="00DC6881">
        <w:rPr>
          <w:rFonts w:ascii="Times New Roman" w:hAnsi="Times New Roman" w:cs="Times New Roman"/>
        </w:rPr>
        <w:t>эт</w:t>
      </w:r>
      <w:proofErr w:type="spellEnd"/>
      <w:r w:rsidRPr="00DC6881">
        <w:rPr>
          <w:rFonts w:ascii="Times New Roman" w:hAnsi="Times New Roman" w:cs="Times New Roman"/>
        </w:rPr>
        <w:t>. 8</w:t>
      </w:r>
      <w:r w:rsidR="0083164C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ком. 4.</w:t>
      </w:r>
    </w:p>
    <w:p w:rsidR="00E6411E" w:rsidRDefault="00746CDF" w:rsidP="00BA51E5">
      <w:pPr>
        <w:pStyle w:val="a5"/>
        <w:numPr>
          <w:ilvl w:val="0"/>
          <w:numId w:val="7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Специализированный депозитарий АО «ОСД</w:t>
      </w:r>
      <w:r w:rsidR="008F781A">
        <w:rPr>
          <w:rFonts w:ascii="Times New Roman" w:hAnsi="Times New Roman" w:cs="Times New Roman"/>
        </w:rPr>
        <w:t xml:space="preserve"> – Р.О.С.Т.</w:t>
      </w:r>
      <w:r w:rsidRPr="00DC6881">
        <w:rPr>
          <w:rFonts w:ascii="Times New Roman" w:hAnsi="Times New Roman" w:cs="Times New Roman"/>
        </w:rPr>
        <w:t>»</w:t>
      </w:r>
      <w:r w:rsidR="008F3046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сайт </w:t>
      </w:r>
      <w:hyperlink r:id="rId8" w:history="1">
        <w:r w:rsidRPr="00DC6881">
          <w:rPr>
            <w:rStyle w:val="a4"/>
            <w:rFonts w:ascii="Times New Roman" w:hAnsi="Times New Roman" w:cs="Times New Roman"/>
          </w:rPr>
          <w:t>www.usdep.ru</w:t>
        </w:r>
      </w:hyperlink>
      <w:r w:rsidRPr="00DC6881">
        <w:rPr>
          <w:rFonts w:ascii="Times New Roman" w:hAnsi="Times New Roman" w:cs="Times New Roman"/>
        </w:rPr>
        <w:t>.</w:t>
      </w:r>
      <w:r w:rsidR="00E6411E">
        <w:rPr>
          <w:rFonts w:ascii="Times New Roman" w:hAnsi="Times New Roman" w:cs="Times New Roman"/>
        </w:rPr>
        <w:t xml:space="preserve"> </w:t>
      </w:r>
    </w:p>
    <w:p w:rsidR="00746CDF" w:rsidRPr="00E6411E" w:rsidRDefault="00E6411E" w:rsidP="00BA51E5">
      <w:pPr>
        <w:pStyle w:val="a5"/>
        <w:numPr>
          <w:ilvl w:val="0"/>
          <w:numId w:val="7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E6411E">
        <w:rPr>
          <w:rFonts w:ascii="Times New Roman" w:hAnsi="Times New Roman" w:cs="Times New Roman"/>
        </w:rPr>
        <w:t>Лицо, осуществляющее ведение реестра владельцев инвестиционных паев</w:t>
      </w:r>
      <w:r w:rsidR="00746CDF" w:rsidRPr="00E6411E">
        <w:rPr>
          <w:rFonts w:ascii="Times New Roman" w:hAnsi="Times New Roman" w:cs="Times New Roman"/>
        </w:rPr>
        <w:t xml:space="preserve"> АО «ОСД</w:t>
      </w:r>
      <w:r w:rsidR="008F781A">
        <w:rPr>
          <w:rFonts w:ascii="Times New Roman" w:hAnsi="Times New Roman" w:cs="Times New Roman"/>
        </w:rPr>
        <w:t xml:space="preserve"> – Р.О.С.Т.</w:t>
      </w:r>
      <w:r w:rsidR="00746CDF" w:rsidRPr="00E6411E">
        <w:rPr>
          <w:rFonts w:ascii="Times New Roman" w:hAnsi="Times New Roman" w:cs="Times New Roman"/>
        </w:rPr>
        <w:t>»</w:t>
      </w:r>
      <w:r w:rsidR="008F3046" w:rsidRPr="00E6411E">
        <w:rPr>
          <w:rFonts w:ascii="Times New Roman" w:hAnsi="Times New Roman" w:cs="Times New Roman"/>
        </w:rPr>
        <w:t>,</w:t>
      </w:r>
      <w:r w:rsidR="00746CDF" w:rsidRPr="00E6411E">
        <w:rPr>
          <w:rFonts w:ascii="Times New Roman" w:hAnsi="Times New Roman" w:cs="Times New Roman"/>
        </w:rPr>
        <w:t xml:space="preserve"> сайт </w:t>
      </w:r>
      <w:hyperlink r:id="rId9" w:history="1">
        <w:r w:rsidR="00746CDF" w:rsidRPr="00E6411E">
          <w:rPr>
            <w:rStyle w:val="a4"/>
            <w:rFonts w:ascii="Times New Roman" w:hAnsi="Times New Roman" w:cs="Times New Roman"/>
          </w:rPr>
          <w:t>www.usdep.ru</w:t>
        </w:r>
      </w:hyperlink>
      <w:r w:rsidR="00746CDF" w:rsidRPr="00E6411E">
        <w:rPr>
          <w:rFonts w:ascii="Times New Roman" w:hAnsi="Times New Roman" w:cs="Times New Roman"/>
        </w:rPr>
        <w:t>.</w:t>
      </w:r>
    </w:p>
    <w:p w:rsidR="00746CDF" w:rsidRPr="00DC6881" w:rsidRDefault="00823043" w:rsidP="00BA51E5">
      <w:pPr>
        <w:pStyle w:val="a5"/>
        <w:numPr>
          <w:ilvl w:val="0"/>
          <w:numId w:val="7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"Об инвестиционных фондах" осуществляет Банк России</w:t>
      </w:r>
      <w:r w:rsidR="00870A1D">
        <w:rPr>
          <w:rFonts w:ascii="Times New Roman" w:hAnsi="Times New Roman" w:cs="Times New Roman"/>
        </w:rPr>
        <w:t>.</w:t>
      </w:r>
      <w:r w:rsidRPr="00DC6881">
        <w:rPr>
          <w:rFonts w:ascii="Times New Roman" w:hAnsi="Times New Roman" w:cs="Times New Roman"/>
        </w:rPr>
        <w:t xml:space="preserve"> сайт www.cbr.ru</w:t>
      </w:r>
      <w:r w:rsidR="00870A1D">
        <w:rPr>
          <w:rFonts w:ascii="Times New Roman" w:hAnsi="Times New Roman" w:cs="Times New Roman"/>
        </w:rPr>
        <w:t>.</w:t>
      </w:r>
      <w:r w:rsidRPr="00DC6881">
        <w:rPr>
          <w:rFonts w:ascii="Times New Roman" w:hAnsi="Times New Roman" w:cs="Times New Roman"/>
        </w:rPr>
        <w:t xml:space="preserve"> номер телефона 8 (800) 300-30-00.</w:t>
      </w:r>
    </w:p>
    <w:sectPr w:rsidR="00746CDF" w:rsidRPr="00DC6881" w:rsidSect="00DC6881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C23E3"/>
    <w:multiLevelType w:val="hybridMultilevel"/>
    <w:tmpl w:val="5C92D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D6A6D"/>
    <w:multiLevelType w:val="hybridMultilevel"/>
    <w:tmpl w:val="059A6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976611"/>
    <w:multiLevelType w:val="multilevel"/>
    <w:tmpl w:val="CBA86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277BC4"/>
    <w:multiLevelType w:val="hybridMultilevel"/>
    <w:tmpl w:val="B97EA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1175F0"/>
    <w:multiLevelType w:val="multilevel"/>
    <w:tmpl w:val="B622B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61630BF"/>
    <w:multiLevelType w:val="hybridMultilevel"/>
    <w:tmpl w:val="ED6854CE"/>
    <w:lvl w:ilvl="0" w:tplc="33D4AE3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7A1D56"/>
    <w:multiLevelType w:val="hybridMultilevel"/>
    <w:tmpl w:val="CC1A74DA"/>
    <w:lvl w:ilvl="0" w:tplc="3864E59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8065AB"/>
    <w:multiLevelType w:val="hybridMultilevel"/>
    <w:tmpl w:val="9D74FAF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67571A"/>
    <w:multiLevelType w:val="hybridMultilevel"/>
    <w:tmpl w:val="8FBCC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 w:numId="7">
    <w:abstractNumId w:val="5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AD6"/>
    <w:rsid w:val="00000D43"/>
    <w:rsid w:val="000025DD"/>
    <w:rsid w:val="00017BD7"/>
    <w:rsid w:val="0002200E"/>
    <w:rsid w:val="00023662"/>
    <w:rsid w:val="000260F3"/>
    <w:rsid w:val="00027815"/>
    <w:rsid w:val="00027B50"/>
    <w:rsid w:val="00051110"/>
    <w:rsid w:val="0006284F"/>
    <w:rsid w:val="00095FC0"/>
    <w:rsid w:val="000A4714"/>
    <w:rsid w:val="000B2EB7"/>
    <w:rsid w:val="000E53C6"/>
    <w:rsid w:val="000E731C"/>
    <w:rsid w:val="000F14CB"/>
    <w:rsid w:val="00114733"/>
    <w:rsid w:val="0011736B"/>
    <w:rsid w:val="00120040"/>
    <w:rsid w:val="00125C95"/>
    <w:rsid w:val="0012727D"/>
    <w:rsid w:val="00140757"/>
    <w:rsid w:val="00151D58"/>
    <w:rsid w:val="0015279F"/>
    <w:rsid w:val="00182E71"/>
    <w:rsid w:val="001869AA"/>
    <w:rsid w:val="001A09AD"/>
    <w:rsid w:val="001A09C3"/>
    <w:rsid w:val="001A5C60"/>
    <w:rsid w:val="001B6DB9"/>
    <w:rsid w:val="001B72AB"/>
    <w:rsid w:val="001C66AE"/>
    <w:rsid w:val="001E03AA"/>
    <w:rsid w:val="001F057E"/>
    <w:rsid w:val="001F0DD9"/>
    <w:rsid w:val="001F7ADA"/>
    <w:rsid w:val="00203496"/>
    <w:rsid w:val="00205C57"/>
    <w:rsid w:val="00206B90"/>
    <w:rsid w:val="00223334"/>
    <w:rsid w:val="00247986"/>
    <w:rsid w:val="002524C2"/>
    <w:rsid w:val="00264C77"/>
    <w:rsid w:val="00265238"/>
    <w:rsid w:val="00266B1B"/>
    <w:rsid w:val="00291F64"/>
    <w:rsid w:val="002943C9"/>
    <w:rsid w:val="002A677F"/>
    <w:rsid w:val="002B33AE"/>
    <w:rsid w:val="002B717B"/>
    <w:rsid w:val="002D66D3"/>
    <w:rsid w:val="002E39BE"/>
    <w:rsid w:val="002E586B"/>
    <w:rsid w:val="003039D5"/>
    <w:rsid w:val="00317821"/>
    <w:rsid w:val="00337F40"/>
    <w:rsid w:val="003531F8"/>
    <w:rsid w:val="00363F20"/>
    <w:rsid w:val="00371B38"/>
    <w:rsid w:val="00397D34"/>
    <w:rsid w:val="003A2EDF"/>
    <w:rsid w:val="003C59CB"/>
    <w:rsid w:val="003D6EB9"/>
    <w:rsid w:val="003F11DC"/>
    <w:rsid w:val="00453067"/>
    <w:rsid w:val="00471695"/>
    <w:rsid w:val="00471BE3"/>
    <w:rsid w:val="00494E7C"/>
    <w:rsid w:val="004A0ABA"/>
    <w:rsid w:val="004A0F96"/>
    <w:rsid w:val="004A3ED4"/>
    <w:rsid w:val="004A5F5B"/>
    <w:rsid w:val="004A695B"/>
    <w:rsid w:val="004A7617"/>
    <w:rsid w:val="004B5AD6"/>
    <w:rsid w:val="004C246B"/>
    <w:rsid w:val="004C531F"/>
    <w:rsid w:val="004E1105"/>
    <w:rsid w:val="00505626"/>
    <w:rsid w:val="005275A5"/>
    <w:rsid w:val="0053115A"/>
    <w:rsid w:val="00542670"/>
    <w:rsid w:val="00556624"/>
    <w:rsid w:val="0056065D"/>
    <w:rsid w:val="00572DEF"/>
    <w:rsid w:val="00592EEE"/>
    <w:rsid w:val="0059325E"/>
    <w:rsid w:val="005944D7"/>
    <w:rsid w:val="005B52ED"/>
    <w:rsid w:val="005B7F8E"/>
    <w:rsid w:val="005D6F19"/>
    <w:rsid w:val="005E1B0D"/>
    <w:rsid w:val="005E7FD3"/>
    <w:rsid w:val="00605E91"/>
    <w:rsid w:val="006913D4"/>
    <w:rsid w:val="006A1241"/>
    <w:rsid w:val="006A22BA"/>
    <w:rsid w:val="006D6FD8"/>
    <w:rsid w:val="006F2F17"/>
    <w:rsid w:val="006F4A79"/>
    <w:rsid w:val="006F5590"/>
    <w:rsid w:val="00707BAC"/>
    <w:rsid w:val="00730DC1"/>
    <w:rsid w:val="00732F34"/>
    <w:rsid w:val="00734072"/>
    <w:rsid w:val="00746CDF"/>
    <w:rsid w:val="00753F8D"/>
    <w:rsid w:val="00754036"/>
    <w:rsid w:val="007545EE"/>
    <w:rsid w:val="00771D43"/>
    <w:rsid w:val="007B0369"/>
    <w:rsid w:val="007C1A75"/>
    <w:rsid w:val="007C5B59"/>
    <w:rsid w:val="007C7799"/>
    <w:rsid w:val="007E40BA"/>
    <w:rsid w:val="008012D4"/>
    <w:rsid w:val="00803846"/>
    <w:rsid w:val="00804F7C"/>
    <w:rsid w:val="00821E81"/>
    <w:rsid w:val="00823043"/>
    <w:rsid w:val="0083164C"/>
    <w:rsid w:val="0083278E"/>
    <w:rsid w:val="00857E46"/>
    <w:rsid w:val="00860AED"/>
    <w:rsid w:val="00867BBD"/>
    <w:rsid w:val="00870A1D"/>
    <w:rsid w:val="00875E8F"/>
    <w:rsid w:val="008876AF"/>
    <w:rsid w:val="008A18E3"/>
    <w:rsid w:val="008B2941"/>
    <w:rsid w:val="008E321E"/>
    <w:rsid w:val="008F3046"/>
    <w:rsid w:val="008F6F31"/>
    <w:rsid w:val="008F781A"/>
    <w:rsid w:val="00920A8F"/>
    <w:rsid w:val="0092547B"/>
    <w:rsid w:val="00925DE2"/>
    <w:rsid w:val="0092647E"/>
    <w:rsid w:val="009324F6"/>
    <w:rsid w:val="009374E5"/>
    <w:rsid w:val="009476DE"/>
    <w:rsid w:val="0096067C"/>
    <w:rsid w:val="00992C38"/>
    <w:rsid w:val="009B4EE8"/>
    <w:rsid w:val="009B6409"/>
    <w:rsid w:val="009E2206"/>
    <w:rsid w:val="00A05C24"/>
    <w:rsid w:val="00A06CE4"/>
    <w:rsid w:val="00A163AF"/>
    <w:rsid w:val="00A22D37"/>
    <w:rsid w:val="00A332EF"/>
    <w:rsid w:val="00A4283B"/>
    <w:rsid w:val="00A507DB"/>
    <w:rsid w:val="00A6551F"/>
    <w:rsid w:val="00A82F0A"/>
    <w:rsid w:val="00AC251C"/>
    <w:rsid w:val="00AC3367"/>
    <w:rsid w:val="00AC5FA3"/>
    <w:rsid w:val="00AD21D7"/>
    <w:rsid w:val="00AD2C05"/>
    <w:rsid w:val="00AD3C27"/>
    <w:rsid w:val="00AF00F2"/>
    <w:rsid w:val="00AF61F7"/>
    <w:rsid w:val="00B053A3"/>
    <w:rsid w:val="00B12DD9"/>
    <w:rsid w:val="00B231C8"/>
    <w:rsid w:val="00B359BE"/>
    <w:rsid w:val="00B40149"/>
    <w:rsid w:val="00B606BD"/>
    <w:rsid w:val="00B813E9"/>
    <w:rsid w:val="00B85523"/>
    <w:rsid w:val="00B96978"/>
    <w:rsid w:val="00BA51E5"/>
    <w:rsid w:val="00BB7D74"/>
    <w:rsid w:val="00BE02D9"/>
    <w:rsid w:val="00BE21F7"/>
    <w:rsid w:val="00BF6C4E"/>
    <w:rsid w:val="00C1165F"/>
    <w:rsid w:val="00C27C00"/>
    <w:rsid w:val="00C42C79"/>
    <w:rsid w:val="00C45E2F"/>
    <w:rsid w:val="00C46E0F"/>
    <w:rsid w:val="00C67365"/>
    <w:rsid w:val="00C74B53"/>
    <w:rsid w:val="00C765C3"/>
    <w:rsid w:val="00C776F7"/>
    <w:rsid w:val="00C85375"/>
    <w:rsid w:val="00C9036F"/>
    <w:rsid w:val="00C9361F"/>
    <w:rsid w:val="00CA2398"/>
    <w:rsid w:val="00CA6973"/>
    <w:rsid w:val="00CB5244"/>
    <w:rsid w:val="00CC72CF"/>
    <w:rsid w:val="00CD2634"/>
    <w:rsid w:val="00CD29B2"/>
    <w:rsid w:val="00CE488F"/>
    <w:rsid w:val="00CF33F0"/>
    <w:rsid w:val="00CF5544"/>
    <w:rsid w:val="00CF600B"/>
    <w:rsid w:val="00D11B91"/>
    <w:rsid w:val="00D322DC"/>
    <w:rsid w:val="00DB4167"/>
    <w:rsid w:val="00DC6881"/>
    <w:rsid w:val="00DD08D1"/>
    <w:rsid w:val="00DD0F8F"/>
    <w:rsid w:val="00DF1144"/>
    <w:rsid w:val="00DF650D"/>
    <w:rsid w:val="00E140FD"/>
    <w:rsid w:val="00E2258C"/>
    <w:rsid w:val="00E23B00"/>
    <w:rsid w:val="00E37012"/>
    <w:rsid w:val="00E6411E"/>
    <w:rsid w:val="00E749E7"/>
    <w:rsid w:val="00E775D4"/>
    <w:rsid w:val="00EA1AA6"/>
    <w:rsid w:val="00EC04EA"/>
    <w:rsid w:val="00ED3F79"/>
    <w:rsid w:val="00EE097A"/>
    <w:rsid w:val="00EE1DF8"/>
    <w:rsid w:val="00EE489C"/>
    <w:rsid w:val="00EF6D1E"/>
    <w:rsid w:val="00F0194C"/>
    <w:rsid w:val="00F03B7C"/>
    <w:rsid w:val="00F14504"/>
    <w:rsid w:val="00F44F39"/>
    <w:rsid w:val="00F65E19"/>
    <w:rsid w:val="00F85240"/>
    <w:rsid w:val="00F85820"/>
    <w:rsid w:val="00F90357"/>
    <w:rsid w:val="00F940CD"/>
    <w:rsid w:val="00F96203"/>
    <w:rsid w:val="00FB4239"/>
    <w:rsid w:val="00FB50E8"/>
    <w:rsid w:val="00FF5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9FF050-FE86-4340-AEFF-DD28F4CCB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A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5A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ctive">
    <w:name w:val="active"/>
    <w:basedOn w:val="a0"/>
    <w:rsid w:val="0002200E"/>
  </w:style>
  <w:style w:type="character" w:styleId="a3">
    <w:name w:val="Strong"/>
    <w:basedOn w:val="a0"/>
    <w:uiPriority w:val="22"/>
    <w:qFormat/>
    <w:rsid w:val="00F85820"/>
    <w:rPr>
      <w:b/>
      <w:bCs/>
    </w:rPr>
  </w:style>
  <w:style w:type="character" w:styleId="a4">
    <w:name w:val="Hyperlink"/>
    <w:basedOn w:val="a0"/>
    <w:uiPriority w:val="99"/>
    <w:unhideWhenUsed/>
    <w:rsid w:val="00BB7D74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B053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dep.ru" TargetMode="Externa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m-navigator.ru/ru/disclosure/sobranie/docs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usdep.ru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ndreev_as\AppData\Local\Microsoft\Windows\INetCache\Content.Outlook\IXW3BOSB\&#1056;&#1072;&#1079;&#1076;&#1077;&#1083;%205.%20&#1054;&#1089;&#1085;&#1086;&#1074;&#1085;&#1099;&#1077;%20&#1088;&#1077;&#1079;&#1091;&#1083;&#1100;&#1090;&#1072;&#1090;&#1099;%20&#1080;&#1085;&#1074;&#1077;&#1089;&#1090;&#1080;&#1088;&#1086;&#1074;&#1072;&#1085;&#1080;&#1103;%2031.01.2023.xls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100" b="0" i="0" baseline="0">
                <a:effectLst/>
              </a:rPr>
              <a:t>Доходность за календарный год, %</a:t>
            </a:r>
            <a:endParaRPr lang="ru-RU" sz="1100">
              <a:effectLst/>
            </a:endParaRP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'Доходность за календарный год %'!$A$12:$A$16</c:f>
              <c:numCache>
                <c:formatCode>General</c:formatCode>
                <c:ptCount val="5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</c:numCache>
            </c:numRef>
          </c:cat>
          <c:val>
            <c:numRef>
              <c:f>'Доходность за календарный год %'!$B$12:$B$16</c:f>
              <c:numCache>
                <c:formatCode>#,##0.00</c:formatCode>
                <c:ptCount val="5"/>
                <c:pt idx="0">
                  <c:v>-31.092552295377075</c:v>
                </c:pt>
                <c:pt idx="1">
                  <c:v>-46.16</c:v>
                </c:pt>
                <c:pt idx="2">
                  <c:v>-22.37</c:v>
                </c:pt>
                <c:pt idx="3">
                  <c:v>-10.98</c:v>
                </c:pt>
                <c:pt idx="4">
                  <c:v>-16.190000000000001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456050840"/>
        <c:axId val="455326784"/>
      </c:barChart>
      <c:catAx>
        <c:axId val="4560508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55326784"/>
        <c:crosses val="autoZero"/>
        <c:auto val="1"/>
        <c:lblAlgn val="ctr"/>
        <c:lblOffset val="300"/>
        <c:noMultiLvlLbl val="0"/>
      </c:catAx>
      <c:valAx>
        <c:axId val="4553267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5605084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8AF9BE-A40F-435C-808D-6F0657D2B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1208</Words>
  <Characters>6890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 Александр Сергеевич</dc:creator>
  <cp:keywords/>
  <dc:description/>
  <cp:lastModifiedBy>Глухов Максим Анатольевич</cp:lastModifiedBy>
  <cp:revision>5</cp:revision>
  <dcterms:created xsi:type="dcterms:W3CDTF">2023-09-06T11:19:00Z</dcterms:created>
  <dcterms:modified xsi:type="dcterms:W3CDTF">2023-09-11T07:04:00Z</dcterms:modified>
</cp:coreProperties>
</file>