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1D7826">
        <w:rPr>
          <w:rFonts w:ascii="Times New Roman" w:hAnsi="Times New Roman" w:cs="Times New Roman"/>
        </w:rPr>
        <w:t>по состоянию на 28.02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B51193">
        <w:rPr>
          <w:rFonts w:ascii="Times New Roman" w:hAnsi="Times New Roman" w:cs="Times New Roman"/>
        </w:rPr>
        <w:t>нного фонда инвестированы в 1155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5119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  <w:r w:rsidR="00294C5F">
              <w:rPr>
                <w:rFonts w:ascii="Times New Roman" w:hAnsi="Times New Roman" w:cs="Times New Roman"/>
              </w:rPr>
              <w:t>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Депозит в кредит</w:t>
            </w:r>
            <w:r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B51193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5119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6899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3769F" w:rsidRPr="00DC6881" w:rsidTr="00C3769F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3769F" w:rsidRPr="00DC6881" w:rsidTr="00C3769F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3.46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3.77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1.74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1.14</w:t>
            </w:r>
          </w:p>
        </w:tc>
      </w:tr>
      <w:tr w:rsidR="00C3769F" w:rsidRPr="00DC6881" w:rsidTr="00C3769F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52BE5" w:rsidRDefault="00D52BE5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-2.67</w:t>
            </w:r>
          </w:p>
        </w:tc>
      </w:tr>
      <w:tr w:rsidR="00C3769F" w:rsidRPr="00DC6881" w:rsidTr="00C3769F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69F" w:rsidRPr="00DC6881" w:rsidRDefault="00C3769F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3769F">
        <w:rPr>
          <w:rFonts w:ascii="Times New Roman" w:hAnsi="Times New Roman" w:cs="Times New Roman"/>
        </w:rPr>
        <w:t>2 275 364 373.61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3769F">
        <w:rPr>
          <w:rFonts w:ascii="Times New Roman" w:hAnsi="Times New Roman" w:cs="Times New Roman"/>
        </w:rPr>
        <w:t>46</w:t>
      </w:r>
      <w:r w:rsidR="00007303">
        <w:rPr>
          <w:rFonts w:ascii="Times New Roman" w:hAnsi="Times New Roman" w:cs="Times New Roman"/>
        </w:rPr>
        <w:t>.3</w:t>
      </w:r>
      <w:r w:rsidR="00C3769F">
        <w:rPr>
          <w:rFonts w:ascii="Times New Roman" w:hAnsi="Times New Roman" w:cs="Times New Roman"/>
        </w:rPr>
        <w:t>3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Доход по одному инвестиционному паю равен доходу по </w:t>
      </w:r>
      <w:r w:rsidRPr="00170956">
        <w:rPr>
          <w:rFonts w:ascii="Times New Roman" w:hAnsi="Times New Roman" w:cs="Times New Roman"/>
        </w:rPr>
        <w:lastRenderedPageBreak/>
        <w:t>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500904" w:rsidRDefault="00500904" w:rsidP="00500904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Сумма вознаграждений управляющей компании, Специализированного депозитария, Регистратора, Аудитора и Оценщика, выплачиваемая за счет имущества, составляющего Фонд, не должна превышать 10 (Десять) процентов среднегодовой стоимости чистых активов Фонда. </w:t>
      </w:r>
    </w:p>
    <w:p w:rsidR="00500904" w:rsidRDefault="00500904" w:rsidP="00500904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сти чистых активов Фонда, определяемой в порядке, установленном нормативными актами в сфере финансовых рынков. </w:t>
      </w:r>
    </w:p>
    <w:p w:rsidR="00500904" w:rsidRDefault="00500904" w:rsidP="00500904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00904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304808"/>
        <c:axId val="378303632"/>
      </c:barChart>
      <c:catAx>
        <c:axId val="37830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03632"/>
        <c:crosses val="autoZero"/>
        <c:auto val="1"/>
        <c:lblAlgn val="ctr"/>
        <c:lblOffset val="100"/>
        <c:noMultiLvlLbl val="0"/>
      </c:catAx>
      <c:valAx>
        <c:axId val="37830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30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FFC5-C9B9-439B-872F-6D778280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149</cp:revision>
  <dcterms:created xsi:type="dcterms:W3CDTF">2021-10-07T09:48:00Z</dcterms:created>
  <dcterms:modified xsi:type="dcterms:W3CDTF">2022-07-12T13:13:00Z</dcterms:modified>
</cp:coreProperties>
</file>